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C1593" w:rsidRDefault="006C1593" w:rsidP="006C1593"/>
    <w:p w:rsidR="006C1593" w:rsidRDefault="006C1593" w:rsidP="006C1593">
      <w:pPr>
        <w:pBdr>
          <w:bottom w:val="single" w:sz="6" w:space="1" w:color="auto"/>
        </w:pBdr>
        <w:rPr>
          <w:sz w:val="28"/>
          <w:szCs w:val="28"/>
        </w:rPr>
      </w:pPr>
      <w:r w:rsidRPr="009A2174">
        <w:rPr>
          <w:sz w:val="28"/>
          <w:szCs w:val="28"/>
        </w:rPr>
        <w:t>Scarce of Fishing</w:t>
      </w:r>
    </w:p>
    <w:p w:rsidR="006C1593" w:rsidRDefault="006C1593" w:rsidP="006C1593"/>
    <w:p w:rsidR="006C1593" w:rsidRDefault="006C1593" w:rsidP="006C1593">
      <w:r>
        <w:t>There are settings of this tune in the following manuscript sources:</w:t>
      </w:r>
    </w:p>
    <w:p w:rsidR="006C1593" w:rsidRDefault="006C1593" w:rsidP="006C1593">
      <w:r>
        <w:t>--</w:t>
      </w:r>
      <w:r>
        <w:rPr>
          <w:b/>
          <w:bCs/>
        </w:rPr>
        <w:t>Angus MacKay</w:t>
      </w:r>
      <w:r>
        <w:t>’s MS, i, 36-8 (with the title “Spiocaireachd Iasgaich.  Scarse of Fishing. Tha Spiocaireachd Iasgaich, am bliadhna am Geogheoben &amp;c.”);</w:t>
      </w:r>
    </w:p>
    <w:p w:rsidR="006C1593" w:rsidRDefault="006C1593" w:rsidP="006C1593">
      <w:r>
        <w:t>--</w:t>
      </w:r>
      <w:r>
        <w:rPr>
          <w:b/>
          <w:bCs/>
        </w:rPr>
        <w:t>Peter Reid</w:t>
      </w:r>
      <w:r>
        <w:t>’s MS, f.62 (with the title “Cumh Fir Ceanloch nan Eala  Lochnells Lament”);</w:t>
      </w:r>
    </w:p>
    <w:p w:rsidR="006C1593" w:rsidRDefault="006C1593" w:rsidP="006C1593">
      <w:r>
        <w:t>--</w:t>
      </w:r>
      <w:r>
        <w:rPr>
          <w:b/>
          <w:bCs/>
        </w:rPr>
        <w:t>Uilleam Ross</w:t>
      </w:r>
      <w:r>
        <w:t>’s MS, ff.201-5 (with the title “Black Donald of the Shores March”);</w:t>
      </w:r>
    </w:p>
    <w:p w:rsidR="006C1593" w:rsidRDefault="006C1593" w:rsidP="006C1593">
      <w:r>
        <w:t>--</w:t>
      </w:r>
      <w:r>
        <w:rPr>
          <w:b/>
          <w:bCs/>
        </w:rPr>
        <w:t>Colin Cameron</w:t>
      </w:r>
      <w:r>
        <w:t>’s MS, ff.45-7 (with the title “Scarce of Fishing  Spiochdaireachd Iasgaich”);</w:t>
      </w:r>
    </w:p>
    <w:p w:rsidR="006C1593" w:rsidRDefault="006C1593" w:rsidP="006C1593">
      <w:pPr>
        <w:pStyle w:val="Heading2"/>
        <w:rPr>
          <w:u w:val="none"/>
        </w:rPr>
      </w:pPr>
    </w:p>
    <w:p w:rsidR="006C1593" w:rsidRDefault="006C1593" w:rsidP="006C1593">
      <w:r>
        <w:t>and in the following published sources:</w:t>
      </w:r>
    </w:p>
    <w:p w:rsidR="006C1593" w:rsidRPr="0025002B" w:rsidRDefault="006C1593" w:rsidP="006C1593">
      <w:r>
        <w:t>--</w:t>
      </w:r>
      <w:r>
        <w:rPr>
          <w:b/>
          <w:bCs/>
        </w:rPr>
        <w:t>William Ross</w:t>
      </w:r>
      <w:r>
        <w:t xml:space="preserve">, </w:t>
      </w:r>
      <w:r>
        <w:rPr>
          <w:i/>
          <w:iCs/>
        </w:rPr>
        <w:t xml:space="preserve">Ross’s Collection, </w:t>
      </w:r>
      <w:r>
        <w:t>pp. 22-27;</w:t>
      </w:r>
    </w:p>
    <w:p w:rsidR="006C1593" w:rsidRDefault="006C1593" w:rsidP="006C1593">
      <w:r>
        <w:t>--</w:t>
      </w:r>
      <w:r>
        <w:rPr>
          <w:b/>
          <w:bCs/>
        </w:rPr>
        <w:t>C. S. Thomason</w:t>
      </w:r>
      <w:r>
        <w:t xml:space="preserve">, </w:t>
      </w:r>
      <w:r>
        <w:rPr>
          <w:i/>
          <w:iCs/>
        </w:rPr>
        <w:t xml:space="preserve">Ceol Mor, </w:t>
      </w:r>
      <w:r>
        <w:t>pp.209-210;</w:t>
      </w:r>
    </w:p>
    <w:p w:rsidR="006C1593" w:rsidRDefault="006C1593" w:rsidP="006C1593">
      <w:r>
        <w:t>--</w:t>
      </w:r>
      <w:r>
        <w:rPr>
          <w:b/>
          <w:bCs/>
        </w:rPr>
        <w:t>David Glen</w:t>
      </w:r>
      <w:r>
        <w:t xml:space="preserve">, </w:t>
      </w:r>
      <w:r>
        <w:rPr>
          <w:i/>
          <w:iCs/>
        </w:rPr>
        <w:t xml:space="preserve">Ancient Piobaireachd, </w:t>
      </w:r>
      <w:r>
        <w:t>pp.132-5;</w:t>
      </w:r>
    </w:p>
    <w:p w:rsidR="006C1593" w:rsidRDefault="006C1593" w:rsidP="006C1593">
      <w:r>
        <w:t>--</w:t>
      </w:r>
      <w:r>
        <w:rPr>
          <w:b/>
          <w:bCs/>
        </w:rPr>
        <w:t>William Stewart</w:t>
      </w:r>
      <w:r>
        <w:t xml:space="preserve">, </w:t>
      </w:r>
      <w:r>
        <w:rPr>
          <w:i/>
          <w:iCs/>
        </w:rPr>
        <w:t xml:space="preserve">et al., </w:t>
      </w:r>
      <w:r>
        <w:t xml:space="preserve">eds., </w:t>
      </w:r>
      <w:r>
        <w:rPr>
          <w:i/>
          <w:iCs/>
        </w:rPr>
        <w:t xml:space="preserve">Piobaireachd Society Collection (first series), </w:t>
      </w:r>
      <w:r w:rsidRPr="0025002B">
        <w:t>ii, 12-15</w:t>
      </w:r>
      <w:r>
        <w:t>;</w:t>
      </w:r>
    </w:p>
    <w:p w:rsidR="006C1593" w:rsidRDefault="006C1593" w:rsidP="006C1593">
      <w:pPr>
        <w:rPr>
          <w:rFonts w:ascii="Arial" w:hAnsi="Arial" w:cs="Arial"/>
          <w:sz w:val="20"/>
          <w:szCs w:val="20"/>
        </w:rPr>
      </w:pPr>
      <w:r>
        <w:t>--</w:t>
      </w:r>
      <w:r>
        <w:rPr>
          <w:b/>
          <w:bCs/>
        </w:rPr>
        <w:t>G. F. Ross</w:t>
      </w:r>
      <w:r>
        <w:t xml:space="preserve">, </w:t>
      </w:r>
      <w:r>
        <w:rPr>
          <w:i/>
          <w:iCs/>
        </w:rPr>
        <w:t>Collection of MacCrimmon and Other Piobaireachd,</w:t>
      </w:r>
      <w:r w:rsidRPr="0025002B">
        <w:t xml:space="preserve"> pp</w:t>
      </w:r>
      <w:r>
        <w:rPr>
          <w:i/>
          <w:iCs/>
        </w:rPr>
        <w:t>.</w:t>
      </w:r>
      <w:r w:rsidRPr="0025002B">
        <w:t>52-3.</w:t>
      </w:r>
    </w:p>
    <w:p w:rsidR="006C1593" w:rsidRPr="0025002B" w:rsidRDefault="006C1593" w:rsidP="006C1593">
      <w:pPr>
        <w:rPr>
          <w:rFonts w:ascii="Arial" w:hAnsi="Arial" w:cs="Arial"/>
          <w:sz w:val="20"/>
          <w:szCs w:val="20"/>
        </w:rPr>
      </w:pPr>
    </w:p>
    <w:p w:rsidR="006C1593" w:rsidRPr="0025002B" w:rsidRDefault="006C1593" w:rsidP="006C1593"/>
    <w:p w:rsidR="00942F96" w:rsidRDefault="00942F96" w:rsidP="00942F96"/>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1"/>
        <w:gridCol w:w="4069"/>
      </w:tblGrid>
      <w:tr w:rsidR="00942F96" w:rsidTr="00CA7C84">
        <w:tblPrEx>
          <w:tblCellMar>
            <w:top w:w="0" w:type="dxa"/>
            <w:bottom w:w="0" w:type="dxa"/>
          </w:tblCellMar>
        </w:tblPrEx>
        <w:tc>
          <w:tcPr>
            <w:tcW w:w="4011" w:type="dxa"/>
          </w:tcPr>
          <w:p w:rsidR="00942F96" w:rsidRDefault="00942F96" w:rsidP="00CA7C84">
            <w:r>
              <w:t>Reid</w:t>
            </w:r>
          </w:p>
        </w:tc>
        <w:tc>
          <w:tcPr>
            <w:tcW w:w="4069" w:type="dxa"/>
          </w:tcPr>
          <w:p w:rsidR="00942F96" w:rsidRDefault="00942F96" w:rsidP="00CA7C84">
            <w:r>
              <w:t>MacKay</w:t>
            </w:r>
          </w:p>
        </w:tc>
      </w:tr>
      <w:tr w:rsidR="00942F96" w:rsidTr="00CA7C84">
        <w:tblPrEx>
          <w:tblCellMar>
            <w:top w:w="0" w:type="dxa"/>
            <w:bottom w:w="0" w:type="dxa"/>
          </w:tblCellMar>
        </w:tblPrEx>
        <w:tc>
          <w:tcPr>
            <w:tcW w:w="4011" w:type="dxa"/>
          </w:tcPr>
          <w:p w:rsidR="00942F96" w:rsidRDefault="00942F96" w:rsidP="00CA7C84">
            <w:r>
              <w:t>Ground</w:t>
            </w:r>
          </w:p>
        </w:tc>
        <w:tc>
          <w:tcPr>
            <w:tcW w:w="4069" w:type="dxa"/>
          </w:tcPr>
          <w:p w:rsidR="00942F96" w:rsidRDefault="00942F96" w:rsidP="00CA7C84">
            <w:r>
              <w:t>Ground (6/8)</w:t>
            </w:r>
          </w:p>
        </w:tc>
      </w:tr>
      <w:tr w:rsidR="00942F96" w:rsidTr="00CA7C84">
        <w:tblPrEx>
          <w:tblCellMar>
            <w:top w:w="0" w:type="dxa"/>
            <w:bottom w:w="0" w:type="dxa"/>
          </w:tblCellMar>
        </w:tblPrEx>
        <w:tc>
          <w:tcPr>
            <w:tcW w:w="4011" w:type="dxa"/>
          </w:tcPr>
          <w:p w:rsidR="00942F96" w:rsidRDefault="00942F96" w:rsidP="00CA7C84">
            <w:r>
              <w:t>Doubling of Ground</w:t>
            </w:r>
          </w:p>
        </w:tc>
        <w:tc>
          <w:tcPr>
            <w:tcW w:w="4069" w:type="dxa"/>
          </w:tcPr>
          <w:p w:rsidR="00942F96" w:rsidRDefault="00942F96" w:rsidP="00CA7C84"/>
        </w:tc>
      </w:tr>
      <w:tr w:rsidR="00942F96" w:rsidTr="00CA7C84">
        <w:tblPrEx>
          <w:tblCellMar>
            <w:top w:w="0" w:type="dxa"/>
            <w:bottom w:w="0" w:type="dxa"/>
          </w:tblCellMar>
        </w:tblPrEx>
        <w:tc>
          <w:tcPr>
            <w:tcW w:w="4011" w:type="dxa"/>
          </w:tcPr>
          <w:p w:rsidR="00942F96" w:rsidRDefault="00942F96" w:rsidP="00CA7C84">
            <w:r>
              <w:t>Trebling of Ground</w:t>
            </w:r>
          </w:p>
        </w:tc>
        <w:tc>
          <w:tcPr>
            <w:tcW w:w="4069" w:type="dxa"/>
          </w:tcPr>
          <w:p w:rsidR="00942F96" w:rsidRDefault="00942F96" w:rsidP="00CA7C84">
            <w:r>
              <w:t>Trebling of Ground</w:t>
            </w:r>
          </w:p>
        </w:tc>
      </w:tr>
      <w:tr w:rsidR="00942F96" w:rsidTr="00CA7C84">
        <w:tblPrEx>
          <w:tblCellMar>
            <w:top w:w="0" w:type="dxa"/>
            <w:bottom w:w="0" w:type="dxa"/>
          </w:tblCellMar>
        </w:tblPrEx>
        <w:tc>
          <w:tcPr>
            <w:tcW w:w="4011" w:type="dxa"/>
          </w:tcPr>
          <w:p w:rsidR="00942F96" w:rsidRDefault="00942F96" w:rsidP="00CA7C84"/>
        </w:tc>
        <w:tc>
          <w:tcPr>
            <w:tcW w:w="4069" w:type="dxa"/>
          </w:tcPr>
          <w:p w:rsidR="00942F96" w:rsidRDefault="00942F96" w:rsidP="00CA7C84">
            <w:r>
              <w:t>Siubhal singling (2/4)</w:t>
            </w:r>
          </w:p>
          <w:p w:rsidR="00942F96" w:rsidRDefault="00942F96" w:rsidP="00CA7C84">
            <w:r>
              <w:t xml:space="preserve">                doubling </w:t>
            </w:r>
          </w:p>
        </w:tc>
      </w:tr>
      <w:tr w:rsidR="00942F96" w:rsidTr="00CA7C84">
        <w:tblPrEx>
          <w:tblCellMar>
            <w:top w:w="0" w:type="dxa"/>
            <w:bottom w:w="0" w:type="dxa"/>
          </w:tblCellMar>
        </w:tblPrEx>
        <w:tc>
          <w:tcPr>
            <w:tcW w:w="4011" w:type="dxa"/>
          </w:tcPr>
          <w:p w:rsidR="00942F96" w:rsidRDefault="00942F96" w:rsidP="00CA7C84"/>
        </w:tc>
        <w:tc>
          <w:tcPr>
            <w:tcW w:w="4069" w:type="dxa"/>
          </w:tcPr>
          <w:p w:rsidR="00942F96" w:rsidRDefault="00942F96" w:rsidP="00CA7C84">
            <w:r>
              <w:t>Pendulum movement (cut ‘up’) singling</w:t>
            </w:r>
          </w:p>
          <w:p w:rsidR="00942F96" w:rsidRDefault="00942F96" w:rsidP="00CA7C84">
            <w:r>
              <w:t xml:space="preserve">                                          doubling        </w:t>
            </w:r>
          </w:p>
        </w:tc>
      </w:tr>
      <w:tr w:rsidR="00942F96" w:rsidTr="00CA7C84">
        <w:tblPrEx>
          <w:tblCellMar>
            <w:top w:w="0" w:type="dxa"/>
            <w:bottom w:w="0" w:type="dxa"/>
          </w:tblCellMar>
        </w:tblPrEx>
        <w:tc>
          <w:tcPr>
            <w:tcW w:w="4011" w:type="dxa"/>
          </w:tcPr>
          <w:p w:rsidR="00942F96" w:rsidRDefault="00942F96" w:rsidP="00CA7C84"/>
        </w:tc>
        <w:tc>
          <w:tcPr>
            <w:tcW w:w="4069" w:type="dxa"/>
          </w:tcPr>
          <w:p w:rsidR="00942F96" w:rsidRDefault="00942F96" w:rsidP="00CA7C84">
            <w:r>
              <w:t>Taorluath (6/8) singling</w:t>
            </w:r>
          </w:p>
          <w:p w:rsidR="00942F96" w:rsidRDefault="00942F96" w:rsidP="00CA7C84">
            <w:r>
              <w:t xml:space="preserve">                         doubling</w:t>
            </w:r>
          </w:p>
        </w:tc>
      </w:tr>
      <w:tr w:rsidR="00942F96" w:rsidTr="00CA7C84">
        <w:tblPrEx>
          <w:tblCellMar>
            <w:top w:w="0" w:type="dxa"/>
            <w:bottom w:w="0" w:type="dxa"/>
          </w:tblCellMar>
        </w:tblPrEx>
        <w:tc>
          <w:tcPr>
            <w:tcW w:w="4011" w:type="dxa"/>
          </w:tcPr>
          <w:p w:rsidR="00942F96" w:rsidRDefault="00942F96" w:rsidP="00CA7C84"/>
        </w:tc>
        <w:tc>
          <w:tcPr>
            <w:tcW w:w="4069" w:type="dxa"/>
          </w:tcPr>
          <w:p w:rsidR="00942F96" w:rsidRDefault="00942F96" w:rsidP="00CA7C84">
            <w:r>
              <w:t>Ground</w:t>
            </w:r>
          </w:p>
        </w:tc>
      </w:tr>
      <w:tr w:rsidR="00942F96" w:rsidTr="00CA7C84">
        <w:tblPrEx>
          <w:tblCellMar>
            <w:top w:w="0" w:type="dxa"/>
            <w:bottom w:w="0" w:type="dxa"/>
          </w:tblCellMar>
        </w:tblPrEx>
        <w:tc>
          <w:tcPr>
            <w:tcW w:w="4011" w:type="dxa"/>
          </w:tcPr>
          <w:p w:rsidR="00942F96" w:rsidRDefault="00942F96" w:rsidP="00CA7C84"/>
        </w:tc>
        <w:tc>
          <w:tcPr>
            <w:tcW w:w="4069" w:type="dxa"/>
          </w:tcPr>
          <w:p w:rsidR="00942F96" w:rsidRDefault="00942F96" w:rsidP="00CA7C84">
            <w:r>
              <w:t>Crunluath singling</w:t>
            </w:r>
          </w:p>
          <w:p w:rsidR="00942F96" w:rsidRDefault="00942F96" w:rsidP="00CA7C84">
            <w:r>
              <w:t xml:space="preserve">                    doubling</w:t>
            </w:r>
          </w:p>
        </w:tc>
      </w:tr>
      <w:tr w:rsidR="00942F96" w:rsidTr="00CA7C84">
        <w:tblPrEx>
          <w:tblCellMar>
            <w:top w:w="0" w:type="dxa"/>
            <w:bottom w:w="0" w:type="dxa"/>
          </w:tblCellMar>
        </w:tblPrEx>
        <w:tc>
          <w:tcPr>
            <w:tcW w:w="4011" w:type="dxa"/>
          </w:tcPr>
          <w:p w:rsidR="00942F96" w:rsidRDefault="00942F96" w:rsidP="00CA7C84"/>
        </w:tc>
        <w:tc>
          <w:tcPr>
            <w:tcW w:w="4069" w:type="dxa"/>
          </w:tcPr>
          <w:p w:rsidR="00942F96" w:rsidRDefault="00942F96" w:rsidP="00CA7C84">
            <w:r>
              <w:t>Ground</w:t>
            </w:r>
          </w:p>
        </w:tc>
      </w:tr>
    </w:tbl>
    <w:p w:rsidR="00942F96" w:rsidRDefault="00942F96" w:rsidP="006C1593"/>
    <w:p w:rsidR="00942F96" w:rsidRDefault="00942F96" w:rsidP="006C1593"/>
    <w:p w:rsidR="006C1593" w:rsidRDefault="006C1593" w:rsidP="006C1593">
      <w:r>
        <w:t>Reid, MacKay and Cameron's settings are very similar to one another, with the exception that Colin Cameron has an interesting way of timing phrase endings in the ground and elsewhere, which is noted below.</w:t>
      </w:r>
    </w:p>
    <w:p w:rsidR="006C1593" w:rsidRDefault="006C1593" w:rsidP="006C1593">
      <w:r>
        <w:t xml:space="preserve">  </w:t>
      </w:r>
    </w:p>
    <w:p w:rsidR="006C1593" w:rsidRDefault="006C1593" w:rsidP="006C1593">
      <w:r w:rsidRPr="000E263A">
        <w:rPr>
          <w:b/>
          <w:bCs/>
        </w:rPr>
        <w:t>Peter Reid</w:t>
      </w:r>
      <w:r>
        <w:t xml:space="preserve">’s score comprises a ground and doubling and trebling of the ground only, with no indication that further parts are contemplated.  However, Reid's verbal instructions regarding the doubling are ambiguous: he says immediately following the ground that the next variation should be </w:t>
      </w:r>
      <w:r w:rsidR="00CC2297">
        <w:t>“</w:t>
      </w:r>
      <w:r>
        <w:t>Doubling of Ground work with each note cross</w:t>
      </w:r>
      <w:r w:rsidR="00CC2297">
        <w:t>’</w:t>
      </w:r>
      <w:r>
        <w:t>d to be play</w:t>
      </w:r>
      <w:r w:rsidR="00CC2297">
        <w:t>’</w:t>
      </w:r>
      <w:r>
        <w:t>d Cruinluidh</w:t>
      </w:r>
      <w:r w:rsidR="00CC2297">
        <w:t>”</w:t>
      </w:r>
      <w:r>
        <w:t xml:space="preserve">, but this is what appears to be set out immediately below and rather misleadingly labelled </w:t>
      </w:r>
      <w:r w:rsidR="00CC2297">
        <w:t>“</w:t>
      </w:r>
      <w:r>
        <w:t>Threbling</w:t>
      </w:r>
      <w:r w:rsidR="00CC2297">
        <w:t>”</w:t>
      </w:r>
      <w:r>
        <w:t xml:space="preserve">:  </w:t>
      </w:r>
    </w:p>
    <w:p w:rsidR="006C1593" w:rsidRDefault="006C1593" w:rsidP="006C1593"/>
    <w:p w:rsidR="006C1593" w:rsidRDefault="006C1593" w:rsidP="006C1593">
      <w:r>
        <w:rPr>
          <w:noProof/>
        </w:rPr>
        <w:lastRenderedPageBreak/>
        <w:drawing>
          <wp:anchor distT="0" distB="0" distL="114300" distR="114300" simplePos="0" relativeHeight="251662336" behindDoc="0" locked="1" layoutInCell="0" allowOverlap="1" wp14:anchorId="560F6115" wp14:editId="270C5113">
            <wp:simplePos x="0" y="0"/>
            <wp:positionH relativeFrom="column">
              <wp:posOffset>0</wp:posOffset>
            </wp:positionH>
            <wp:positionV relativeFrom="paragraph">
              <wp:posOffset>0</wp:posOffset>
            </wp:positionV>
            <wp:extent cx="5267325" cy="6151880"/>
            <wp:effectExtent l="0" t="0" r="0" b="0"/>
            <wp:wrapTopAndBottom/>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7325" cy="615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593" w:rsidRDefault="006C1593" w:rsidP="006C1593">
      <w:r>
        <w:rPr>
          <w:noProof/>
        </w:rPr>
        <w:drawing>
          <wp:anchor distT="0" distB="0" distL="114300" distR="114300" simplePos="0" relativeHeight="251659264" behindDoc="0" locked="0" layoutInCell="0" allowOverlap="1" wp14:anchorId="1E8F15B4" wp14:editId="72405F06">
            <wp:simplePos x="0" y="0"/>
            <wp:positionH relativeFrom="column">
              <wp:posOffset>0</wp:posOffset>
            </wp:positionH>
            <wp:positionV relativeFrom="paragraph">
              <wp:posOffset>0</wp:posOffset>
            </wp:positionV>
            <wp:extent cx="5259705" cy="2331720"/>
            <wp:effectExtent l="0" t="0" r="0" b="0"/>
            <wp:wrapTopAndBottom/>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5">
                      <a:extLst>
                        <a:ext uri="{28A0092B-C50C-407E-A947-70E740481C1C}">
                          <a14:useLocalDpi xmlns:a14="http://schemas.microsoft.com/office/drawing/2010/main" val="0"/>
                        </a:ext>
                      </a:extLst>
                    </a:blip>
                    <a:srcRect b="407"/>
                    <a:stretch>
                      <a:fillRect/>
                    </a:stretch>
                  </pic:blipFill>
                  <pic:spPr bwMode="auto">
                    <a:xfrm>
                      <a:off x="0" y="0"/>
                      <a:ext cx="5259705"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593" w:rsidRDefault="006C1593" w:rsidP="006C1593"/>
    <w:p w:rsidR="006C1593" w:rsidRDefault="006C1593" w:rsidP="006C1593">
      <w:r>
        <w:rPr>
          <w:b/>
          <w:bCs/>
        </w:rPr>
        <w:t>Peter Reid</w:t>
      </w:r>
      <w:r>
        <w:t>’s original score is as follows:</w:t>
      </w:r>
    </w:p>
    <w:p w:rsidR="006C1593" w:rsidRDefault="006C1593" w:rsidP="006C1593"/>
    <w:p w:rsidR="006C1593" w:rsidRPr="00781A9B" w:rsidRDefault="006C1593" w:rsidP="006C1593"/>
    <w:p w:rsidR="006C1593" w:rsidRDefault="006C1593" w:rsidP="006C1593">
      <w:r w:rsidRPr="008A1901">
        <w:rPr>
          <w:noProof/>
        </w:rPr>
        <w:drawing>
          <wp:inline distT="0" distB="0" distL="0" distR="0" wp14:anchorId="2A8A51B5" wp14:editId="176D4F38">
            <wp:extent cx="5275580" cy="6960870"/>
            <wp:effectExtent l="0" t="0" r="0" b="0"/>
            <wp:docPr id="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5580" cy="6960870"/>
                    </a:xfrm>
                    <a:prstGeom prst="rect">
                      <a:avLst/>
                    </a:prstGeom>
                    <a:noFill/>
                    <a:ln>
                      <a:noFill/>
                    </a:ln>
                  </pic:spPr>
                </pic:pic>
              </a:graphicData>
            </a:graphic>
          </wp:inline>
        </w:drawing>
      </w:r>
    </w:p>
    <w:p w:rsidR="006C1593" w:rsidRDefault="006C1593" w:rsidP="006C1593"/>
    <w:p w:rsidR="006C1593" w:rsidRDefault="00194DC7" w:rsidP="006C1593">
      <w:r>
        <w:t xml:space="preserve">One notable feature of Reid’s score is the opening </w:t>
      </w:r>
      <w:r w:rsidR="00970091">
        <w:t>acciaccatura</w:t>
      </w:r>
      <w:r w:rsidR="006C1593">
        <w:t xml:space="preserve"> represented by the conventional </w:t>
      </w:r>
      <w:r>
        <w:t>three demi-semi-quaver</w:t>
      </w:r>
      <w:r>
        <w:t xml:space="preserve"> </w:t>
      </w:r>
      <w:r w:rsidR="006C1593">
        <w:t xml:space="preserve">formula, </w:t>
      </w:r>
      <w:r>
        <w:t xml:space="preserve">later </w:t>
      </w:r>
      <w:r w:rsidR="006C1593">
        <w:t xml:space="preserve">represented by a crotchet/quaver figure when it </w:t>
      </w:r>
      <w:r>
        <w:t>figures again,</w:t>
      </w:r>
      <w:r w:rsidR="006C1593">
        <w:t xml:space="preserve"> a little later, played off C.  </w:t>
      </w:r>
    </w:p>
    <w:p w:rsidR="006C1593" w:rsidRPr="00D951C7" w:rsidRDefault="006C1593" w:rsidP="006C1593"/>
    <w:p w:rsidR="006C1593" w:rsidRDefault="006C1593" w:rsidP="006C1593">
      <w:r w:rsidRPr="003F6522">
        <w:rPr>
          <w:b/>
          <w:bCs/>
        </w:rPr>
        <w:t>Angus MacKay</w:t>
      </w:r>
      <w:r>
        <w:t xml:space="preserve"> develops the tune much more fully than Reid, as follows:</w:t>
      </w:r>
    </w:p>
    <w:p w:rsidR="006C1593" w:rsidRDefault="006C1593" w:rsidP="006C1593"/>
    <w:p w:rsidR="006C1593" w:rsidRDefault="006C1593" w:rsidP="006C1593"/>
    <w:p w:rsidR="006C1593" w:rsidRDefault="006C1593" w:rsidP="006C1593"/>
    <w:p w:rsidR="006C1593" w:rsidRDefault="006C1593" w:rsidP="006C1593">
      <w:r>
        <w:t>The following examples show MacKay’s characteristic timing of the tune:</w:t>
      </w:r>
    </w:p>
    <w:p w:rsidR="006C1593" w:rsidRDefault="006C1593" w:rsidP="006C1593"/>
    <w:p w:rsidR="006C1593" w:rsidRDefault="006C1593" w:rsidP="006C1593">
      <w:r>
        <w:rPr>
          <w:noProof/>
        </w:rPr>
        <w:drawing>
          <wp:anchor distT="0" distB="0" distL="114300" distR="114300" simplePos="0" relativeHeight="251663360" behindDoc="0" locked="1" layoutInCell="0" allowOverlap="1" wp14:anchorId="5784CF3D" wp14:editId="1D0F4455">
            <wp:simplePos x="0" y="0"/>
            <wp:positionH relativeFrom="column">
              <wp:posOffset>0</wp:posOffset>
            </wp:positionH>
            <wp:positionV relativeFrom="paragraph">
              <wp:posOffset>0</wp:posOffset>
            </wp:positionV>
            <wp:extent cx="5268595" cy="6298565"/>
            <wp:effectExtent l="0" t="0" r="0" b="0"/>
            <wp:wrapTopAndBottom/>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
                      <a:extLst>
                        <a:ext uri="{28A0092B-C50C-407E-A947-70E740481C1C}">
                          <a14:useLocalDpi xmlns:a14="http://schemas.microsoft.com/office/drawing/2010/main" val="0"/>
                        </a:ext>
                      </a:extLst>
                    </a:blip>
                    <a:srcRect b="18593"/>
                    <a:stretch>
                      <a:fillRect/>
                    </a:stretch>
                  </pic:blipFill>
                  <pic:spPr bwMode="auto">
                    <a:xfrm>
                      <a:off x="0" y="0"/>
                      <a:ext cx="5268595" cy="6298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593" w:rsidRDefault="006C1593" w:rsidP="006C1593">
      <w:r>
        <w:rPr>
          <w:noProof/>
        </w:rPr>
        <w:drawing>
          <wp:anchor distT="0" distB="0" distL="114300" distR="114300" simplePos="0" relativeHeight="251660288" behindDoc="0" locked="0" layoutInCell="0" allowOverlap="1" wp14:anchorId="6DBD3D4E" wp14:editId="0FE5BDAB">
            <wp:simplePos x="0" y="0"/>
            <wp:positionH relativeFrom="column">
              <wp:posOffset>29210</wp:posOffset>
            </wp:positionH>
            <wp:positionV relativeFrom="paragraph">
              <wp:posOffset>175260</wp:posOffset>
            </wp:positionV>
            <wp:extent cx="5229860" cy="891540"/>
            <wp:effectExtent l="0" t="0" r="0" b="0"/>
            <wp:wrapTopAndBottom/>
            <wp:docPr id="96035909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86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593" w:rsidRDefault="006C1593" w:rsidP="006C1593"/>
    <w:p w:rsidR="006C1593" w:rsidRDefault="006C1593" w:rsidP="006C1593"/>
    <w:p w:rsidR="006C1593" w:rsidRDefault="006C1593" w:rsidP="006C1593">
      <w:r>
        <w:rPr>
          <w:b/>
          <w:bCs/>
        </w:rPr>
        <w:lastRenderedPageBreak/>
        <w:t>Angus MacKay</w:t>
      </w:r>
      <w:r>
        <w:t>’s original score is as follows:</w:t>
      </w:r>
    </w:p>
    <w:p w:rsidR="006C1593" w:rsidRDefault="006C1593" w:rsidP="006C1593"/>
    <w:p w:rsidR="006C1593" w:rsidRDefault="006C1593" w:rsidP="006C1593"/>
    <w:p w:rsidR="006C1593" w:rsidRDefault="006C1593" w:rsidP="006C1593"/>
    <w:p w:rsidR="006C1593" w:rsidRDefault="006C1593" w:rsidP="006C1593"/>
    <w:p w:rsidR="006C1593" w:rsidRDefault="006C1593" w:rsidP="006C1593">
      <w:r w:rsidRPr="007524F0">
        <w:rPr>
          <w:noProof/>
        </w:rPr>
        <w:drawing>
          <wp:inline distT="0" distB="0" distL="0" distR="0" wp14:anchorId="7BAA04FC" wp14:editId="448E3CC5">
            <wp:extent cx="5275580" cy="6903720"/>
            <wp:effectExtent l="0" t="0" r="0" b="0"/>
            <wp:docPr id="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5580" cy="6903720"/>
                    </a:xfrm>
                    <a:prstGeom prst="rect">
                      <a:avLst/>
                    </a:prstGeom>
                    <a:noFill/>
                    <a:ln>
                      <a:noFill/>
                    </a:ln>
                  </pic:spPr>
                </pic:pic>
              </a:graphicData>
            </a:graphic>
          </wp:inline>
        </w:drawing>
      </w:r>
    </w:p>
    <w:p w:rsidR="006C1593" w:rsidRDefault="006C1593" w:rsidP="006C1593"/>
    <w:p w:rsidR="006C1593" w:rsidRDefault="006C1593" w:rsidP="006C1593">
      <w:r w:rsidRPr="00C974A3">
        <w:rPr>
          <w:noProof/>
        </w:rPr>
        <w:lastRenderedPageBreak/>
        <w:drawing>
          <wp:inline distT="0" distB="0" distL="0" distR="0" wp14:anchorId="1FBE29E9" wp14:editId="5D5A890A">
            <wp:extent cx="5271135" cy="6932295"/>
            <wp:effectExtent l="0" t="0" r="0" b="0"/>
            <wp:docPr id="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135" cy="6932295"/>
                    </a:xfrm>
                    <a:prstGeom prst="rect">
                      <a:avLst/>
                    </a:prstGeom>
                    <a:noFill/>
                    <a:ln>
                      <a:noFill/>
                    </a:ln>
                  </pic:spPr>
                </pic:pic>
              </a:graphicData>
            </a:graphic>
          </wp:inline>
        </w:drawing>
      </w:r>
    </w:p>
    <w:p w:rsidR="006C1593" w:rsidRDefault="006C1593" w:rsidP="006C1593">
      <w:r w:rsidRPr="00906E29">
        <w:rPr>
          <w:noProof/>
        </w:rPr>
        <w:lastRenderedPageBreak/>
        <w:drawing>
          <wp:inline distT="0" distB="0" distL="0" distR="0" wp14:anchorId="754823B7" wp14:editId="6B8F1093">
            <wp:extent cx="5271135" cy="6941820"/>
            <wp:effectExtent l="0" t="0" r="0" b="0"/>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1135" cy="6941820"/>
                    </a:xfrm>
                    <a:prstGeom prst="rect">
                      <a:avLst/>
                    </a:prstGeom>
                    <a:noFill/>
                    <a:ln>
                      <a:noFill/>
                    </a:ln>
                  </pic:spPr>
                </pic:pic>
              </a:graphicData>
            </a:graphic>
          </wp:inline>
        </w:drawing>
      </w:r>
    </w:p>
    <w:p w:rsidR="006C1593" w:rsidRDefault="006C1593" w:rsidP="006C1593"/>
    <w:p w:rsidR="006C1593" w:rsidRDefault="006C1593" w:rsidP="006C1593">
      <w:r w:rsidRPr="006337C4">
        <w:rPr>
          <w:noProof/>
        </w:rPr>
        <w:lastRenderedPageBreak/>
        <w:drawing>
          <wp:inline distT="0" distB="0" distL="0" distR="0" wp14:anchorId="6A7BC339" wp14:editId="28FD4A3C">
            <wp:extent cx="5271135" cy="7004050"/>
            <wp:effectExtent l="0" t="0" r="0" b="0"/>
            <wp:docPr id="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1135" cy="7004050"/>
                    </a:xfrm>
                    <a:prstGeom prst="rect">
                      <a:avLst/>
                    </a:prstGeom>
                    <a:noFill/>
                    <a:ln>
                      <a:noFill/>
                    </a:ln>
                  </pic:spPr>
                </pic:pic>
              </a:graphicData>
            </a:graphic>
          </wp:inline>
        </w:drawing>
      </w:r>
    </w:p>
    <w:p w:rsidR="006C1593" w:rsidRPr="005C21CB" w:rsidRDefault="006C1593" w:rsidP="006C1593"/>
    <w:p w:rsidR="002F6F2C" w:rsidRDefault="002F6F2C" w:rsidP="006C1593">
      <w:pPr>
        <w:rPr>
          <w:b/>
          <w:bCs/>
        </w:rPr>
      </w:pPr>
    </w:p>
    <w:p w:rsidR="002F6F2C" w:rsidRDefault="002F6F2C" w:rsidP="006C1593">
      <w:pPr>
        <w:rPr>
          <w:b/>
          <w:bCs/>
        </w:rPr>
      </w:pPr>
    </w:p>
    <w:p w:rsidR="006C1593" w:rsidRDefault="006C1593" w:rsidP="006C1593">
      <w:r w:rsidRPr="002F6F2C">
        <w:rPr>
          <w:b/>
          <w:bCs/>
        </w:rPr>
        <w:t>Colin Cameron</w:t>
      </w:r>
      <w:r>
        <w:t xml:space="preserve"> differs from Reid and MacKay in the heavy cadencing of  phrase endings, a style</w:t>
      </w:r>
      <w:r w:rsidR="002F6F2C">
        <w:t xml:space="preserve"> also </w:t>
      </w:r>
      <w:r>
        <w:t xml:space="preserve">reflected in the setting published in Uilleam Ross’s </w:t>
      </w:r>
      <w:r w:rsidRPr="002143F8">
        <w:rPr>
          <w:i/>
          <w:iCs/>
        </w:rPr>
        <w:t>Collection</w:t>
      </w:r>
      <w:r>
        <w:t xml:space="preserve"> a little later, although with a slightly different timing.  Otherwise Cameron develops the tune in a similar way to MacKay:</w:t>
      </w:r>
    </w:p>
    <w:p w:rsidR="006C1593" w:rsidRDefault="006C1593" w:rsidP="006C1593">
      <w:r>
        <w:rPr>
          <w:noProof/>
        </w:rPr>
        <w:lastRenderedPageBreak/>
        <w:drawing>
          <wp:anchor distT="0" distB="0" distL="114300" distR="114300" simplePos="0" relativeHeight="251666432" behindDoc="0" locked="0" layoutInCell="0" allowOverlap="1" wp14:anchorId="1815A230" wp14:editId="10FBBC5E">
            <wp:simplePos x="0" y="0"/>
            <wp:positionH relativeFrom="column">
              <wp:posOffset>0</wp:posOffset>
            </wp:positionH>
            <wp:positionV relativeFrom="paragraph">
              <wp:posOffset>0</wp:posOffset>
            </wp:positionV>
            <wp:extent cx="5268595" cy="6479540"/>
            <wp:effectExtent l="0" t="0" r="0" b="0"/>
            <wp:wrapTopAndBottom/>
            <wp:docPr id="209013098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xmlns:a14="http://schemas.microsoft.com/office/drawing/2010/main" val="0"/>
                        </a:ext>
                      </a:extLst>
                    </a:blip>
                    <a:srcRect b="16258"/>
                    <a:stretch>
                      <a:fillRect/>
                    </a:stretch>
                  </pic:blipFill>
                  <pic:spPr bwMode="auto">
                    <a:xfrm>
                      <a:off x="0" y="0"/>
                      <a:ext cx="5268595" cy="647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593" w:rsidRDefault="006C1593" w:rsidP="006C1593"/>
    <w:p w:rsidR="006C1593" w:rsidRDefault="00954E42" w:rsidP="006C1593">
      <w:r>
        <w:t>“</w:t>
      </w:r>
      <w:r w:rsidR="006C1593">
        <w:t>Scarce of Fishing</w:t>
      </w:r>
      <w:r>
        <w:t>”</w:t>
      </w:r>
      <w:r w:rsidR="006C1593">
        <w:t xml:space="preserve"> was first published in Uilleam Ross’s </w:t>
      </w:r>
      <w:r w:rsidR="006C1593" w:rsidRPr="002143F8">
        <w:rPr>
          <w:i/>
          <w:iCs/>
        </w:rPr>
        <w:t>Collection</w:t>
      </w:r>
      <w:r w:rsidR="006C1593">
        <w:t>.  The following extract shows Ross’s timing of the ground, which he marks “Very Slow”:</w:t>
      </w:r>
    </w:p>
    <w:p w:rsidR="006C1593" w:rsidRDefault="006C1593" w:rsidP="006C1593"/>
    <w:p w:rsidR="006C1593" w:rsidRDefault="006C1593" w:rsidP="006C1593"/>
    <w:p w:rsidR="006C1593" w:rsidRDefault="006C1593" w:rsidP="006C1593">
      <w:r>
        <w:rPr>
          <w:noProof/>
        </w:rPr>
        <w:lastRenderedPageBreak/>
        <w:drawing>
          <wp:anchor distT="0" distB="0" distL="114300" distR="114300" simplePos="0" relativeHeight="251664384" behindDoc="0" locked="1" layoutInCell="0" allowOverlap="1" wp14:anchorId="24762D14" wp14:editId="64AC2451">
            <wp:simplePos x="0" y="0"/>
            <wp:positionH relativeFrom="column">
              <wp:posOffset>0</wp:posOffset>
            </wp:positionH>
            <wp:positionV relativeFrom="paragraph">
              <wp:posOffset>0</wp:posOffset>
            </wp:positionV>
            <wp:extent cx="5255895" cy="2334895"/>
            <wp:effectExtent l="0" t="0" r="0" b="0"/>
            <wp:wrapTopAndBottom/>
            <wp:docPr id="17655089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5895" cy="2334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593" w:rsidRDefault="006C1593" w:rsidP="006C1593"/>
    <w:p w:rsidR="006C1593" w:rsidRDefault="006C1593" w:rsidP="006C1593">
      <w:r>
        <w:rPr>
          <w:noProof/>
        </w:rPr>
        <w:drawing>
          <wp:anchor distT="0" distB="0" distL="114300" distR="114300" simplePos="0" relativeHeight="251665408" behindDoc="0" locked="1" layoutInCell="0" allowOverlap="1" wp14:anchorId="3AFA1F47" wp14:editId="288EB731">
            <wp:simplePos x="0" y="0"/>
            <wp:positionH relativeFrom="column">
              <wp:posOffset>-9525</wp:posOffset>
            </wp:positionH>
            <wp:positionV relativeFrom="paragraph">
              <wp:posOffset>65405</wp:posOffset>
            </wp:positionV>
            <wp:extent cx="5265420" cy="2414270"/>
            <wp:effectExtent l="0" t="0" r="0" b="0"/>
            <wp:wrapTopAndBottom/>
            <wp:docPr id="168702476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5420" cy="24142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Ross points the pendulum movement </w:t>
      </w:r>
      <w:r w:rsidR="00954E42">
        <w:t>“</w:t>
      </w:r>
      <w:r>
        <w:t>down</w:t>
      </w:r>
      <w:r w:rsidR="00954E42">
        <w:t>”</w:t>
      </w:r>
      <w:r>
        <w:t xml:space="preserve"> as opposed to the </w:t>
      </w:r>
      <w:r w:rsidR="00954E42">
        <w:t>“</w:t>
      </w:r>
      <w:r>
        <w:t>up</w:t>
      </w:r>
      <w:r w:rsidR="00954E42">
        <w:t>”</w:t>
      </w:r>
      <w:r>
        <w:t xml:space="preserve"> cut of MacKay, and Cameron's even quavers:</w:t>
      </w:r>
    </w:p>
    <w:p w:rsidR="006C1593" w:rsidRDefault="006C1593" w:rsidP="006C1593"/>
    <w:p w:rsidR="006C1593" w:rsidRDefault="006C1593" w:rsidP="006C1593">
      <w:r>
        <w:t xml:space="preserve">Ross indicates that the ground should be repeated at the end of the taorluath doubling and again at the end of the tune, which in terms of number and type of variations he develops similarly to MacKay and Cameron.  He has no crunluath a-mach. </w:t>
      </w:r>
    </w:p>
    <w:p w:rsidR="006C1593" w:rsidRDefault="006C1593" w:rsidP="006C1593"/>
    <w:p w:rsidR="006C1593" w:rsidRDefault="006C1593" w:rsidP="006C1593">
      <w:r>
        <w:t xml:space="preserve">Of the other </w:t>
      </w:r>
      <w:r w:rsidR="00954E42">
        <w:t xml:space="preserve">earlier </w:t>
      </w:r>
      <w:r>
        <w:t xml:space="preserve">published settings </w:t>
      </w:r>
      <w:r w:rsidRPr="00954E42">
        <w:rPr>
          <w:b/>
          <w:bCs/>
        </w:rPr>
        <w:t>C. S. Thomason</w:t>
      </w:r>
      <w:r>
        <w:t xml:space="preserve"> has the cadences present in Colin Cameron and Uilleam Ross, and it would seem that Donald Cameron played the lighter McKay style of Var.1 without the throws on F and E depicted in Reid's ‘Threbling’ (</w:t>
      </w:r>
      <w:r>
        <w:rPr>
          <w:u w:val="single"/>
        </w:rPr>
        <w:t>Ceol Mor</w:t>
      </w:r>
      <w:r>
        <w:t xml:space="preserve">, pp.209-10).  </w:t>
      </w:r>
    </w:p>
    <w:p w:rsidR="006C1593" w:rsidRDefault="006C1593" w:rsidP="006C1593"/>
    <w:p w:rsidR="006C1593" w:rsidRDefault="006C1593" w:rsidP="006C1593">
      <w:r>
        <w:t xml:space="preserve">The setting published by </w:t>
      </w:r>
      <w:r w:rsidRPr="00135EC9">
        <w:rPr>
          <w:b/>
          <w:bCs/>
        </w:rPr>
        <w:t>William Stewart</w:t>
      </w:r>
      <w:r>
        <w:t xml:space="preserve"> in the </w:t>
      </w:r>
      <w:r w:rsidRPr="00954E42">
        <w:rPr>
          <w:i/>
          <w:iCs/>
        </w:rPr>
        <w:t>Piobaireachd Society Collection</w:t>
      </w:r>
      <w:r>
        <w:t xml:space="preserve">, first series, (ii, 12-15 as </w:t>
      </w:r>
      <w:r w:rsidR="00954E42">
        <w:t>“</w:t>
      </w:r>
      <w:r>
        <w:t>Lochnell</w:t>
      </w:r>
      <w:r w:rsidR="00954E42">
        <w:t>’</w:t>
      </w:r>
      <w:r>
        <w:t>s Lament</w:t>
      </w:r>
      <w:r w:rsidR="00954E42">
        <w:t>”</w:t>
      </w:r>
      <w:r>
        <w:t xml:space="preserve">) follows Ross rather closely.  In his notes Stewart defends this style as the true old way, dismissing the </w:t>
      </w:r>
      <w:r w:rsidR="00954E42">
        <w:t>“</w:t>
      </w:r>
      <w:r>
        <w:t>up</w:t>
      </w:r>
      <w:r w:rsidR="00954E42">
        <w:t>”</w:t>
      </w:r>
      <w:r>
        <w:t xml:space="preserve"> cut style in the pendulum movement as </w:t>
      </w:r>
      <w:r w:rsidR="00954E42">
        <w:t>“</w:t>
      </w:r>
      <w:r w:rsidRPr="00954E42">
        <w:rPr>
          <w:i/>
          <w:iCs/>
        </w:rPr>
        <w:t>cas-mu-seach</w:t>
      </w:r>
      <w:r w:rsidR="00954E42">
        <w:t>”</w:t>
      </w:r>
      <w:r>
        <w:t xml:space="preserve"> </w:t>
      </w:r>
      <w:r w:rsidR="00954E42">
        <w:t>(</w:t>
      </w:r>
      <w:r>
        <w:t>heads-and-thraws</w:t>
      </w:r>
      <w:r w:rsidR="00954E42">
        <w:t>) and</w:t>
      </w:r>
      <w:r>
        <w:t xml:space="preserve"> ascrib</w:t>
      </w:r>
      <w:r w:rsidR="00954E42">
        <w:t xml:space="preserve">es </w:t>
      </w:r>
      <w:r>
        <w:t xml:space="preserve">its popularity (wrongly) to Donald MacPhee. </w:t>
      </w:r>
    </w:p>
    <w:p w:rsidR="00135EC9" w:rsidRDefault="00135EC9" w:rsidP="006C1593"/>
    <w:p w:rsidR="00506F55" w:rsidRDefault="00506F55" w:rsidP="006C1593">
      <w:pPr>
        <w:rPr>
          <w:i/>
          <w:iCs/>
          <w:sz w:val="28"/>
          <w:szCs w:val="28"/>
        </w:rPr>
      </w:pPr>
    </w:p>
    <w:p w:rsidR="00506F55" w:rsidRDefault="00506F55" w:rsidP="006C1593">
      <w:pPr>
        <w:rPr>
          <w:i/>
          <w:iCs/>
          <w:sz w:val="28"/>
          <w:szCs w:val="28"/>
        </w:rPr>
      </w:pPr>
    </w:p>
    <w:p w:rsidR="00506F55" w:rsidRPr="00506F55" w:rsidRDefault="00506F55" w:rsidP="006C1593">
      <w:pPr>
        <w:rPr>
          <w:i/>
          <w:iCs/>
          <w:sz w:val="28"/>
          <w:szCs w:val="28"/>
        </w:rPr>
      </w:pPr>
      <w:r w:rsidRPr="00506F55">
        <w:rPr>
          <w:i/>
          <w:iCs/>
          <w:sz w:val="28"/>
          <w:szCs w:val="28"/>
        </w:rPr>
        <w:lastRenderedPageBreak/>
        <w:t>Commentary</w:t>
      </w:r>
    </w:p>
    <w:p w:rsidR="00506F55" w:rsidRDefault="00506F55" w:rsidP="006C1593"/>
    <w:p w:rsidR="00135EC9" w:rsidRPr="00AE0C49" w:rsidRDefault="00135EC9" w:rsidP="00AE0C49">
      <w:pPr>
        <w:pStyle w:val="Heading1"/>
        <w:rPr>
          <w:rFonts w:ascii="Times New Roman" w:hAnsi="Times New Roman" w:cs="Times New Roman"/>
          <w:color w:val="000000" w:themeColor="text1"/>
          <w:sz w:val="24"/>
          <w:szCs w:val="24"/>
        </w:rPr>
      </w:pPr>
      <w:r w:rsidRPr="00AE0C49">
        <w:rPr>
          <w:rFonts w:ascii="Times New Roman" w:hAnsi="Times New Roman" w:cs="Times New Roman"/>
          <w:color w:val="000000" w:themeColor="text1"/>
          <w:sz w:val="24"/>
          <w:szCs w:val="24"/>
        </w:rPr>
        <w:t xml:space="preserve">Writing in the </w:t>
      </w:r>
      <w:r w:rsidRPr="00AE0C49">
        <w:rPr>
          <w:rFonts w:ascii="Times New Roman" w:hAnsi="Times New Roman" w:cs="Times New Roman"/>
          <w:i/>
          <w:iCs/>
          <w:color w:val="000000" w:themeColor="text1"/>
          <w:sz w:val="24"/>
          <w:szCs w:val="24"/>
        </w:rPr>
        <w:t>Oban Times</w:t>
      </w:r>
      <w:r w:rsidR="00506F55" w:rsidRPr="00AE0C49">
        <w:rPr>
          <w:rFonts w:ascii="Times New Roman" w:hAnsi="Times New Roman" w:cs="Times New Roman"/>
          <w:color w:val="000000" w:themeColor="text1"/>
          <w:sz w:val="24"/>
          <w:szCs w:val="24"/>
        </w:rPr>
        <w:t xml:space="preserve"> in 1950, Malcolm MacInnes</w:t>
      </w:r>
      <w:r w:rsidR="00AE0C49" w:rsidRPr="00AE0C49">
        <w:rPr>
          <w:rFonts w:ascii="Times New Roman" w:hAnsi="Times New Roman" w:cs="Times New Roman"/>
          <w:color w:val="000000" w:themeColor="text1"/>
          <w:sz w:val="24"/>
          <w:szCs w:val="24"/>
        </w:rPr>
        <w:t xml:space="preserve">, editor of </w:t>
      </w:r>
      <w:r w:rsidR="00AE0C49" w:rsidRPr="006553DB">
        <w:rPr>
          <w:rFonts w:ascii="Times New Roman" w:hAnsi="Times New Roman" w:cs="Times New Roman"/>
          <w:i/>
          <w:iCs/>
          <w:color w:val="000000" w:themeColor="text1"/>
          <w:sz w:val="24"/>
          <w:szCs w:val="24"/>
        </w:rPr>
        <w:t>120 Bagpipe Tunes, Gleanings and Styles</w:t>
      </w:r>
      <w:r w:rsidR="00AE0C49" w:rsidRPr="00AE0C49">
        <w:rPr>
          <w:rFonts w:ascii="Times New Roman" w:hAnsi="Times New Roman" w:cs="Times New Roman"/>
          <w:color w:val="000000" w:themeColor="text1"/>
          <w:sz w:val="24"/>
          <w:szCs w:val="24"/>
        </w:rPr>
        <w:t xml:space="preserve"> (Glasgow, 1939)</w:t>
      </w:r>
      <w:r w:rsidR="006553DB">
        <w:rPr>
          <w:rFonts w:ascii="Times New Roman" w:hAnsi="Times New Roman" w:cs="Times New Roman"/>
          <w:color w:val="000000" w:themeColor="text1"/>
          <w:sz w:val="24"/>
          <w:szCs w:val="24"/>
        </w:rPr>
        <w:t>,</w:t>
      </w:r>
      <w:r w:rsidR="00AE0C49" w:rsidRPr="00AE0C49">
        <w:rPr>
          <w:rFonts w:ascii="Times New Roman" w:hAnsi="Times New Roman" w:cs="Times New Roman"/>
          <w:color w:val="000000" w:themeColor="text1"/>
          <w:sz w:val="24"/>
          <w:szCs w:val="24"/>
        </w:rPr>
        <w:t xml:space="preserve"> </w:t>
      </w:r>
      <w:r w:rsidR="00506F55" w:rsidRPr="00AE0C49">
        <w:rPr>
          <w:rFonts w:ascii="Times New Roman" w:hAnsi="Times New Roman" w:cs="Times New Roman"/>
          <w:color w:val="000000" w:themeColor="text1"/>
          <w:sz w:val="24"/>
          <w:szCs w:val="24"/>
        </w:rPr>
        <w:t xml:space="preserve">made an interesting suggestion regarding the timing of “Scarce of Fishing”: </w:t>
      </w:r>
    </w:p>
    <w:p w:rsidR="00506F55" w:rsidRPr="00AE0C49" w:rsidRDefault="00506F55" w:rsidP="006C1593">
      <w:pPr>
        <w:rPr>
          <w:color w:val="000000" w:themeColor="text1"/>
        </w:rPr>
      </w:pPr>
    </w:p>
    <w:p w:rsidR="00506F55" w:rsidRPr="00506F55" w:rsidRDefault="00506F55" w:rsidP="00506F55">
      <w:pPr>
        <w:widowControl w:val="0"/>
        <w:ind w:left="540" w:right="1106"/>
        <w:rPr>
          <w:snapToGrid w:val="0"/>
          <w:color w:val="000000"/>
          <w:sz w:val="22"/>
          <w:szCs w:val="22"/>
        </w:rPr>
      </w:pPr>
      <w:r w:rsidRPr="00506F55">
        <w:rPr>
          <w:snapToGrid w:val="0"/>
          <w:color w:val="000000"/>
          <w:sz w:val="22"/>
          <w:szCs w:val="22"/>
        </w:rPr>
        <w:t xml:space="preserve">The tune </w:t>
      </w:r>
      <w:r w:rsidRPr="00506F55">
        <w:rPr>
          <w:snapToGrid w:val="0"/>
          <w:color w:val="000000"/>
          <w:sz w:val="22"/>
          <w:szCs w:val="22"/>
        </w:rPr>
        <w:t>“</w:t>
      </w:r>
      <w:r w:rsidRPr="00506F55">
        <w:rPr>
          <w:snapToGrid w:val="0"/>
          <w:color w:val="000000"/>
          <w:sz w:val="22"/>
          <w:szCs w:val="22"/>
        </w:rPr>
        <w:t>Scarce of Fishing</w:t>
      </w:r>
      <w:r w:rsidRPr="00506F55">
        <w:rPr>
          <w:snapToGrid w:val="0"/>
          <w:color w:val="000000"/>
          <w:sz w:val="22"/>
          <w:szCs w:val="22"/>
        </w:rPr>
        <w:t>”</w:t>
      </w:r>
      <w:r w:rsidRPr="00506F55">
        <w:rPr>
          <w:snapToGrid w:val="0"/>
          <w:color w:val="000000"/>
          <w:sz w:val="22"/>
          <w:szCs w:val="22"/>
        </w:rPr>
        <w:t xml:space="preserve"> seems, as played, to have any rhythm fancied by the player, although the rhythm of the original Gaelic song is unmistakably 6/8.</w:t>
      </w:r>
    </w:p>
    <w:p w:rsidR="00506F55" w:rsidRPr="00506F55" w:rsidRDefault="00506F55" w:rsidP="00506F55">
      <w:pPr>
        <w:widowControl w:val="0"/>
        <w:ind w:left="540" w:right="1106"/>
        <w:rPr>
          <w:snapToGrid w:val="0"/>
          <w:color w:val="000000"/>
          <w:sz w:val="22"/>
          <w:szCs w:val="22"/>
        </w:rPr>
      </w:pPr>
      <w:r w:rsidRPr="00506F55">
        <w:rPr>
          <w:snapToGrid w:val="0"/>
          <w:color w:val="000000"/>
          <w:sz w:val="22"/>
          <w:szCs w:val="22"/>
        </w:rPr>
        <w:t>It can be shown in English thus:--</w:t>
      </w:r>
    </w:p>
    <w:p w:rsidR="00506F55" w:rsidRPr="00506F55" w:rsidRDefault="00506F55" w:rsidP="00506F55">
      <w:pPr>
        <w:widowControl w:val="0"/>
        <w:ind w:left="540" w:right="1106"/>
        <w:rPr>
          <w:snapToGrid w:val="0"/>
          <w:color w:val="000000"/>
          <w:sz w:val="22"/>
          <w:szCs w:val="22"/>
        </w:rPr>
      </w:pPr>
    </w:p>
    <w:p w:rsidR="00506F55" w:rsidRPr="00506F55" w:rsidRDefault="00506F55" w:rsidP="00506F55">
      <w:pPr>
        <w:widowControl w:val="0"/>
        <w:ind w:left="540" w:right="1106"/>
        <w:rPr>
          <w:snapToGrid w:val="0"/>
          <w:color w:val="000000"/>
          <w:sz w:val="22"/>
          <w:szCs w:val="22"/>
        </w:rPr>
      </w:pPr>
      <w:r w:rsidRPr="00506F55">
        <w:rPr>
          <w:snapToGrid w:val="0"/>
          <w:color w:val="000000"/>
          <w:sz w:val="22"/>
          <w:szCs w:val="22"/>
        </w:rPr>
        <w:tab/>
        <w:t>'Tis/   long since the/  day when we/   played</w:t>
      </w:r>
    </w:p>
    <w:p w:rsidR="00506F55" w:rsidRPr="00506F55" w:rsidRDefault="00506F55" w:rsidP="00506F55">
      <w:pPr>
        <w:widowControl w:val="0"/>
        <w:ind w:left="540" w:right="1106"/>
        <w:rPr>
          <w:snapToGrid w:val="0"/>
          <w:color w:val="000000"/>
          <w:sz w:val="22"/>
          <w:szCs w:val="22"/>
        </w:rPr>
      </w:pPr>
      <w:r w:rsidRPr="00506F55">
        <w:rPr>
          <w:snapToGrid w:val="0"/>
          <w:color w:val="000000"/>
          <w:sz w:val="22"/>
          <w:szCs w:val="22"/>
        </w:rPr>
        <w:t xml:space="preserve">      A/      F     E     C/     E     G    A/        E</w:t>
      </w:r>
    </w:p>
    <w:p w:rsidR="00506F55" w:rsidRPr="00506F55" w:rsidRDefault="00506F55" w:rsidP="00506F55">
      <w:pPr>
        <w:widowControl w:val="0"/>
        <w:ind w:left="540" w:right="1106"/>
        <w:rPr>
          <w:snapToGrid w:val="0"/>
          <w:color w:val="000000"/>
          <w:sz w:val="22"/>
          <w:szCs w:val="22"/>
        </w:rPr>
      </w:pPr>
    </w:p>
    <w:p w:rsidR="00506F55" w:rsidRPr="00506F55" w:rsidRDefault="00506F55" w:rsidP="00506F55">
      <w:pPr>
        <w:widowControl w:val="0"/>
        <w:ind w:left="540" w:right="1106"/>
        <w:rPr>
          <w:snapToGrid w:val="0"/>
          <w:color w:val="000000"/>
          <w:sz w:val="22"/>
          <w:szCs w:val="22"/>
        </w:rPr>
      </w:pPr>
      <w:r w:rsidRPr="00506F55">
        <w:rPr>
          <w:snapToGrid w:val="0"/>
          <w:color w:val="000000"/>
          <w:sz w:val="22"/>
          <w:szCs w:val="22"/>
        </w:rPr>
        <w:tab/>
        <w:t xml:space="preserve">in the/   heather  </w:t>
      </w:r>
    </w:p>
    <w:p w:rsidR="00506F55" w:rsidRPr="00506F55" w:rsidRDefault="00506F55" w:rsidP="00506F55">
      <w:pPr>
        <w:widowControl w:val="0"/>
        <w:ind w:left="540" w:right="1106"/>
        <w:rPr>
          <w:snapToGrid w:val="0"/>
          <w:color w:val="000000"/>
          <w:sz w:val="22"/>
          <w:szCs w:val="22"/>
        </w:rPr>
      </w:pPr>
      <w:r w:rsidRPr="00506F55">
        <w:rPr>
          <w:snapToGrid w:val="0"/>
          <w:color w:val="000000"/>
          <w:sz w:val="22"/>
          <w:szCs w:val="22"/>
        </w:rPr>
        <w:t xml:space="preserve">     C  B/      B, A .</w:t>
      </w:r>
    </w:p>
    <w:p w:rsidR="00506F55" w:rsidRPr="00506F55" w:rsidRDefault="00506F55" w:rsidP="00506F55">
      <w:pPr>
        <w:widowControl w:val="0"/>
        <w:ind w:left="540" w:right="1106"/>
        <w:rPr>
          <w:snapToGrid w:val="0"/>
          <w:color w:val="000000"/>
          <w:sz w:val="22"/>
          <w:szCs w:val="22"/>
        </w:rPr>
      </w:pPr>
    </w:p>
    <w:p w:rsidR="00506F55" w:rsidRPr="00506F55" w:rsidRDefault="00506F55" w:rsidP="00506F55">
      <w:pPr>
        <w:widowControl w:val="0"/>
        <w:ind w:left="540" w:right="1106"/>
        <w:rPr>
          <w:snapToGrid w:val="0"/>
          <w:color w:val="000000"/>
          <w:sz w:val="22"/>
          <w:szCs w:val="22"/>
        </w:rPr>
      </w:pPr>
      <w:r w:rsidRPr="00506F55">
        <w:rPr>
          <w:snapToGrid w:val="0"/>
          <w:color w:val="000000"/>
          <w:sz w:val="22"/>
          <w:szCs w:val="22"/>
        </w:rPr>
        <w:t>This shows four beats, each with one long and two short syllables, the first note, low A, being introductory, before the bar, and the beat being on the F.</w:t>
      </w:r>
    </w:p>
    <w:p w:rsidR="00506F55" w:rsidRPr="00506F55" w:rsidRDefault="00506F55" w:rsidP="006C1593"/>
    <w:p w:rsidR="00506F55" w:rsidRDefault="00506F55" w:rsidP="00506F55">
      <w:pPr>
        <w:widowControl w:val="0"/>
        <w:rPr>
          <w:snapToGrid w:val="0"/>
          <w:color w:val="000000"/>
          <w:sz w:val="22"/>
          <w:szCs w:val="22"/>
        </w:rPr>
      </w:pPr>
      <w:r w:rsidRPr="00506F55">
        <w:t>He added “</w:t>
      </w:r>
      <w:r w:rsidRPr="00506F55">
        <w:rPr>
          <w:snapToGrid w:val="0"/>
          <w:color w:val="000000"/>
        </w:rPr>
        <w:t xml:space="preserve">The title of this tune is a minor point but it ought to be corrected.  </w:t>
      </w:r>
      <w:r>
        <w:rPr>
          <w:snapToGrid w:val="0"/>
          <w:color w:val="000000"/>
        </w:rPr>
        <w:t>‘</w:t>
      </w:r>
      <w:r w:rsidRPr="00506F55">
        <w:rPr>
          <w:snapToGrid w:val="0"/>
          <w:color w:val="000000"/>
        </w:rPr>
        <w:t xml:space="preserve">Scarce of </w:t>
      </w:r>
      <w:r w:rsidR="00970091" w:rsidRPr="00506F55">
        <w:rPr>
          <w:snapToGrid w:val="0"/>
          <w:color w:val="000000"/>
        </w:rPr>
        <w:t>Fishing</w:t>
      </w:r>
      <w:r w:rsidR="00970091">
        <w:rPr>
          <w:snapToGrid w:val="0"/>
          <w:color w:val="000000"/>
        </w:rPr>
        <w:t xml:space="preserve"> </w:t>
      </w:r>
      <w:r w:rsidR="00970091" w:rsidRPr="00506F55">
        <w:rPr>
          <w:snapToGrid w:val="0"/>
          <w:color w:val="000000"/>
        </w:rPr>
        <w:t>‘sounds</w:t>
      </w:r>
      <w:r w:rsidRPr="00506F55">
        <w:rPr>
          <w:snapToGrid w:val="0"/>
          <w:color w:val="000000"/>
        </w:rPr>
        <w:t xml:space="preserve"> like the English of an illiterate.  The Gaelic </w:t>
      </w:r>
      <w:r>
        <w:rPr>
          <w:snapToGrid w:val="0"/>
          <w:color w:val="000000"/>
        </w:rPr>
        <w:t>‘</w:t>
      </w:r>
      <w:r w:rsidRPr="00506F55">
        <w:rPr>
          <w:i/>
          <w:iCs/>
          <w:snapToGrid w:val="0"/>
          <w:color w:val="000000"/>
        </w:rPr>
        <w:t>Spiochaireachd Iasgaic</w:t>
      </w:r>
      <w:r>
        <w:rPr>
          <w:i/>
          <w:iCs/>
          <w:snapToGrid w:val="0"/>
          <w:color w:val="000000"/>
        </w:rPr>
        <w:t>h’</w:t>
      </w:r>
      <w:r w:rsidRPr="00506F55">
        <w:rPr>
          <w:snapToGrid w:val="0"/>
          <w:color w:val="000000"/>
        </w:rPr>
        <w:t xml:space="preserve"> means </w:t>
      </w:r>
      <w:r>
        <w:rPr>
          <w:snapToGrid w:val="0"/>
          <w:color w:val="000000"/>
        </w:rPr>
        <w:t>‘</w:t>
      </w:r>
      <w:r w:rsidRPr="00506F55">
        <w:rPr>
          <w:snapToGrid w:val="0"/>
          <w:color w:val="000000"/>
        </w:rPr>
        <w:t>Very Poor Fishing</w:t>
      </w:r>
      <w:r>
        <w:rPr>
          <w:snapToGrid w:val="0"/>
          <w:color w:val="000000"/>
        </w:rPr>
        <w:t>’</w:t>
      </w:r>
      <w:r w:rsidRPr="00506F55">
        <w:rPr>
          <w:snapToGrid w:val="0"/>
          <w:color w:val="000000"/>
        </w:rPr>
        <w:t xml:space="preserve"> and is very good Gaelic</w:t>
      </w:r>
      <w:r>
        <w:rPr>
          <w:snapToGrid w:val="0"/>
          <w:color w:val="000000"/>
        </w:rPr>
        <w:t>”</w:t>
      </w:r>
      <w:r w:rsidRPr="00506F55">
        <w:rPr>
          <w:snapToGrid w:val="0"/>
          <w:color w:val="000000"/>
        </w:rPr>
        <w:t>.</w:t>
      </w:r>
      <w:r>
        <w:rPr>
          <w:snapToGrid w:val="0"/>
          <w:color w:val="000000"/>
        </w:rPr>
        <w:t xml:space="preserve"> </w:t>
      </w:r>
      <w:r w:rsidRPr="00506F55">
        <w:rPr>
          <w:snapToGrid w:val="0"/>
          <w:color w:val="000000"/>
          <w:sz w:val="22"/>
          <w:szCs w:val="22"/>
        </w:rPr>
        <w:t>(“</w:t>
      </w:r>
      <w:r w:rsidRPr="00506F55">
        <w:rPr>
          <w:snapToGrid w:val="0"/>
          <w:color w:val="000000"/>
          <w:sz w:val="22"/>
          <w:szCs w:val="22"/>
        </w:rPr>
        <w:t>Survey of Piobaireachd</w:t>
      </w:r>
      <w:r w:rsidRPr="00506F55">
        <w:rPr>
          <w:snapToGrid w:val="0"/>
          <w:color w:val="000000"/>
          <w:sz w:val="22"/>
          <w:szCs w:val="22"/>
        </w:rPr>
        <w:t xml:space="preserve">”, </w:t>
      </w:r>
      <w:r w:rsidRPr="00506F55">
        <w:rPr>
          <w:snapToGrid w:val="0"/>
          <w:color w:val="000000"/>
          <w:sz w:val="22"/>
          <w:szCs w:val="22"/>
        </w:rPr>
        <w:t>11/11/50, p.3.</w:t>
      </w:r>
      <w:r w:rsidRPr="00506F55">
        <w:rPr>
          <w:snapToGrid w:val="0"/>
          <w:color w:val="000000"/>
          <w:sz w:val="22"/>
          <w:szCs w:val="22"/>
        </w:rPr>
        <w:t>)</w:t>
      </w:r>
    </w:p>
    <w:p w:rsidR="00970091" w:rsidRDefault="00970091" w:rsidP="00506F55">
      <w:pPr>
        <w:widowControl w:val="0"/>
        <w:rPr>
          <w:snapToGrid w:val="0"/>
          <w:color w:val="000000"/>
          <w:sz w:val="22"/>
          <w:szCs w:val="22"/>
        </w:rPr>
      </w:pPr>
    </w:p>
    <w:p w:rsidR="00970091" w:rsidRPr="00506F55" w:rsidRDefault="00970091" w:rsidP="00506F55">
      <w:pPr>
        <w:widowControl w:val="0"/>
        <w:rPr>
          <w:snapToGrid w:val="0"/>
          <w:color w:val="000000"/>
        </w:rPr>
      </w:pPr>
      <w:r>
        <w:rPr>
          <w:snapToGrid w:val="0"/>
          <w:color w:val="000000"/>
          <w:sz w:val="22"/>
          <w:szCs w:val="22"/>
        </w:rPr>
        <w:t xml:space="preserve">R. B. Nicol </w:t>
      </w:r>
      <w:r w:rsidR="005058AC">
        <w:rPr>
          <w:snapToGrid w:val="0"/>
          <w:color w:val="000000"/>
          <w:sz w:val="22"/>
          <w:szCs w:val="22"/>
        </w:rPr>
        <w:t>frequently</w:t>
      </w:r>
      <w:r>
        <w:rPr>
          <w:snapToGrid w:val="0"/>
          <w:color w:val="000000"/>
          <w:sz w:val="22"/>
          <w:szCs w:val="22"/>
        </w:rPr>
        <w:t xml:space="preserve"> referred to the tune </w:t>
      </w:r>
      <w:r w:rsidR="005058AC">
        <w:rPr>
          <w:snapToGrid w:val="0"/>
          <w:color w:val="000000"/>
          <w:sz w:val="22"/>
          <w:szCs w:val="22"/>
        </w:rPr>
        <w:t xml:space="preserve">using Uilleam Ross’s title, </w:t>
      </w:r>
      <w:r>
        <w:rPr>
          <w:snapToGrid w:val="0"/>
          <w:color w:val="000000"/>
          <w:sz w:val="22"/>
          <w:szCs w:val="22"/>
        </w:rPr>
        <w:t xml:space="preserve"> “The Fisher of Geogh Brodinn”</w:t>
      </w:r>
    </w:p>
    <w:p w:rsidR="00954E42" w:rsidRDefault="00954E42" w:rsidP="006C1593"/>
    <w:p w:rsidR="00954E42" w:rsidRDefault="00954E42" w:rsidP="006C1593">
      <w:r>
        <w:tab/>
      </w:r>
      <w:r>
        <w:tab/>
      </w:r>
      <w:r>
        <w:tab/>
      </w:r>
      <w:r>
        <w:tab/>
      </w:r>
      <w:r>
        <w:tab/>
        <w:t>*</w:t>
      </w:r>
    </w:p>
    <w:p w:rsidR="00954E42" w:rsidRDefault="00954E42" w:rsidP="006C1593"/>
    <w:p w:rsidR="006C1593" w:rsidRPr="00954E42" w:rsidRDefault="006C1593" w:rsidP="006C1593">
      <w:pPr>
        <w:rPr>
          <w:sz w:val="22"/>
          <w:szCs w:val="22"/>
        </w:rPr>
      </w:pPr>
      <w:r w:rsidRPr="00954E42">
        <w:rPr>
          <w:sz w:val="22"/>
          <w:szCs w:val="22"/>
        </w:rPr>
        <w:t>Electronic text © William Donaldson, Aberdeen, Scotland, 2001</w:t>
      </w:r>
      <w:r w:rsidR="00954E42">
        <w:rPr>
          <w:sz w:val="22"/>
          <w:szCs w:val="22"/>
        </w:rPr>
        <w:t>; revised, Cambridge, Massachusetts, March 2025</w:t>
      </w:r>
    </w:p>
    <w:p w:rsidR="006C1593" w:rsidRDefault="006C1593" w:rsidP="006C1593">
      <w:pPr>
        <w:pStyle w:val="Heading2"/>
        <w:rPr>
          <w:sz w:val="24"/>
          <w:u w:val="none"/>
        </w:rPr>
      </w:pPr>
      <w:r>
        <w:rPr>
          <w:sz w:val="24"/>
          <w:u w:val="none"/>
        </w:rPr>
        <w:t xml:space="preserve">   </w:t>
      </w:r>
    </w:p>
    <w:p w:rsidR="00000000" w:rsidRDefault="00000000"/>
    <w:sectPr w:rsidR="005B7D0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593"/>
    <w:rsid w:val="0003188D"/>
    <w:rsid w:val="00090E52"/>
    <w:rsid w:val="00135EC9"/>
    <w:rsid w:val="00194DC7"/>
    <w:rsid w:val="002F6F2C"/>
    <w:rsid w:val="005058AC"/>
    <w:rsid w:val="00506F55"/>
    <w:rsid w:val="006553DB"/>
    <w:rsid w:val="006C1593"/>
    <w:rsid w:val="00922ADA"/>
    <w:rsid w:val="00942F96"/>
    <w:rsid w:val="00954E42"/>
    <w:rsid w:val="00970091"/>
    <w:rsid w:val="009E23C4"/>
    <w:rsid w:val="00A23146"/>
    <w:rsid w:val="00AA2E9F"/>
    <w:rsid w:val="00AC7ADC"/>
    <w:rsid w:val="00AE0C49"/>
    <w:rsid w:val="00B2366F"/>
    <w:rsid w:val="00CC2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B61AF"/>
  <w14:defaultImageDpi w14:val="32767"/>
  <w15:chartTrackingRefBased/>
  <w15:docId w15:val="{E4D8DE6F-5286-F64A-8E54-142C03B0B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1593"/>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AE0C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6C1593"/>
    <w:pPr>
      <w:keepNext/>
      <w:outlineLvl w:val="1"/>
    </w:pPr>
    <w:rPr>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C1593"/>
    <w:rPr>
      <w:rFonts w:ascii="Times New Roman" w:eastAsia="Times New Roman" w:hAnsi="Times New Roman" w:cs="Times New Roman"/>
      <w:kern w:val="0"/>
      <w:sz w:val="20"/>
      <w:szCs w:val="20"/>
      <w:u w:val="single"/>
      <w14:ligatures w14:val="none"/>
    </w:rPr>
  </w:style>
  <w:style w:type="character" w:customStyle="1" w:styleId="Heading1Char">
    <w:name w:val="Heading 1 Char"/>
    <w:basedOn w:val="DefaultParagraphFont"/>
    <w:link w:val="Heading1"/>
    <w:uiPriority w:val="9"/>
    <w:rsid w:val="00AE0C49"/>
    <w:rPr>
      <w:rFonts w:asciiTheme="majorHAnsi" w:eastAsiaTheme="majorEastAsia" w:hAnsiTheme="majorHAnsi" w:cstheme="majorBidi"/>
      <w:color w:val="2F5496"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11</Pages>
  <Words>756</Words>
  <Characters>4313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Donaldson</dc:creator>
  <cp:keywords/>
  <dc:description/>
  <cp:lastModifiedBy>William Donaldson</cp:lastModifiedBy>
  <cp:revision>14</cp:revision>
  <dcterms:created xsi:type="dcterms:W3CDTF">2025-03-19T18:14:00Z</dcterms:created>
  <dcterms:modified xsi:type="dcterms:W3CDTF">2025-03-19T19:58:00Z</dcterms:modified>
</cp:coreProperties>
</file>