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2BF2" w:rsidRDefault="00C62BF2">
      <w:pPr>
        <w:pBdr>
          <w:bottom w:val="single" w:sz="6" w:space="1" w:color="auto"/>
        </w:pBdr>
        <w:rPr>
          <w:sz w:val="32"/>
        </w:rPr>
      </w:pPr>
      <w:r>
        <w:rPr>
          <w:sz w:val="32"/>
        </w:rPr>
        <w:t>The Red Hand in the MacDonalds’ Arms</w:t>
      </w:r>
    </w:p>
    <w:p w:rsidR="00C62BF2" w:rsidRDefault="00C62BF2">
      <w:r>
        <w:t>There are settings of this tune in the following published sources:</w:t>
      </w:r>
    </w:p>
    <w:p w:rsidR="0094589D" w:rsidRDefault="0094589D" w:rsidP="00774862">
      <w:pPr>
        <w:spacing w:after="0"/>
      </w:pPr>
      <w:r w:rsidRPr="008F17F8">
        <w:rPr>
          <w:bCs/>
        </w:rPr>
        <w:t>--</w:t>
      </w:r>
      <w:r>
        <w:rPr>
          <w:b/>
        </w:rPr>
        <w:t>Angus MacKay</w:t>
      </w:r>
      <w:r>
        <w:t xml:space="preserve">, </w:t>
      </w:r>
      <w:r>
        <w:rPr>
          <w:i/>
        </w:rPr>
        <w:t xml:space="preserve">Collection of Ancient Piobaireachd, </w:t>
      </w:r>
      <w:r>
        <w:t>pp.56-8;</w:t>
      </w:r>
    </w:p>
    <w:p w:rsidR="0094589D" w:rsidRDefault="0094589D" w:rsidP="00774862">
      <w:pPr>
        <w:spacing w:after="0"/>
      </w:pPr>
      <w:r w:rsidRPr="008F17F8">
        <w:rPr>
          <w:bCs/>
        </w:rPr>
        <w:t>--</w:t>
      </w:r>
      <w:r>
        <w:rPr>
          <w:b/>
        </w:rPr>
        <w:t xml:space="preserve">C. S. Thomason, </w:t>
      </w:r>
      <w:r>
        <w:rPr>
          <w:i/>
        </w:rPr>
        <w:t xml:space="preserve">Ceol Mor, </w:t>
      </w:r>
      <w:r>
        <w:t>pp.193-4;</w:t>
      </w:r>
    </w:p>
    <w:p w:rsidR="00C62BF2" w:rsidRPr="0094589D" w:rsidRDefault="0094589D" w:rsidP="00774862">
      <w:pPr>
        <w:spacing w:after="0"/>
        <w:rPr>
          <w:b/>
          <w:i/>
        </w:rPr>
      </w:pPr>
      <w:r w:rsidRPr="008F17F8">
        <w:rPr>
          <w:bCs/>
        </w:rPr>
        <w:t>--</w:t>
      </w:r>
      <w:r>
        <w:rPr>
          <w:b/>
        </w:rPr>
        <w:t>David Glen</w:t>
      </w:r>
      <w:r>
        <w:t xml:space="preserve">, </w:t>
      </w:r>
      <w:r>
        <w:rPr>
          <w:i/>
        </w:rPr>
        <w:t xml:space="preserve">Collection of Ancient Piobaireachd, </w:t>
      </w:r>
      <w:r w:rsidR="00774862">
        <w:t>pp.209-211.</w:t>
      </w:r>
    </w:p>
    <w:p w:rsidR="005B40B4" w:rsidRDefault="005B40B4"/>
    <w:p w:rsidR="00C62BF2" w:rsidRDefault="005B40B4">
      <w:r>
        <w:t xml:space="preserve">There appears to be no surviving </w:t>
      </w:r>
      <w:r w:rsidR="008F612E">
        <w:t xml:space="preserve">pre-twentieth century </w:t>
      </w:r>
      <w:r>
        <w:t>manuscript</w:t>
      </w:r>
      <w:r w:rsidR="008F612E">
        <w:t xml:space="preserve"> setting</w:t>
      </w:r>
      <w:r>
        <w:t xml:space="preserve">.  </w:t>
      </w:r>
    </w:p>
    <w:p w:rsidR="00774862" w:rsidRDefault="00774862">
      <w:r>
        <w:rPr>
          <w:b/>
        </w:rPr>
        <w:t xml:space="preserve">Angus MacKay </w:t>
      </w:r>
      <w:r>
        <w:t>sets the tune as follows:</w:t>
      </w:r>
    </w:p>
    <w:p w:rsidR="00774862" w:rsidRDefault="00774862"/>
    <w:p w:rsidR="00C62BF2" w:rsidRPr="00774862" w:rsidRDefault="00774862">
      <w:r>
        <w:rPr>
          <w:noProof/>
          <w:sz w:val="20"/>
        </w:rPr>
        <w:lastRenderedPageBreak/>
        <w:drawing>
          <wp:inline distT="0" distB="0" distL="0" distR="0">
            <wp:extent cx="5322838" cy="6858000"/>
            <wp:effectExtent l="25400" t="0" r="1116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322838" cy="6858000"/>
                    </a:xfrm>
                    <a:prstGeom prst="rect">
                      <a:avLst/>
                    </a:prstGeom>
                    <a:noFill/>
                    <a:ln w="9525">
                      <a:noFill/>
                      <a:miter lim="800000"/>
                      <a:headEnd/>
                      <a:tailEnd/>
                    </a:ln>
                  </pic:spPr>
                </pic:pic>
              </a:graphicData>
            </a:graphic>
          </wp:inline>
        </w:drawing>
      </w:r>
    </w:p>
    <w:p w:rsidR="00C62BF2" w:rsidRDefault="00774862">
      <w:r>
        <w:rPr>
          <w:noProof/>
          <w:sz w:val="20"/>
        </w:rPr>
        <w:lastRenderedPageBreak/>
        <w:drawing>
          <wp:inline distT="0" distB="0" distL="0" distR="0">
            <wp:extent cx="4775200" cy="66294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76625" cy="6631379"/>
                    </a:xfrm>
                    <a:prstGeom prst="rect">
                      <a:avLst/>
                    </a:prstGeom>
                    <a:noFill/>
                    <a:ln w="9525">
                      <a:noFill/>
                      <a:miter lim="800000"/>
                      <a:headEnd/>
                      <a:tailEnd/>
                    </a:ln>
                  </pic:spPr>
                </pic:pic>
              </a:graphicData>
            </a:graphic>
          </wp:inline>
        </w:drawing>
      </w:r>
    </w:p>
    <w:p w:rsidR="00774862" w:rsidRDefault="00774862">
      <w:r>
        <w:rPr>
          <w:noProof/>
          <w:sz w:val="20"/>
        </w:rPr>
        <w:lastRenderedPageBreak/>
        <w:drawing>
          <wp:inline distT="0" distB="0" distL="0" distR="0">
            <wp:extent cx="5092290" cy="68580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092290" cy="6858000"/>
                    </a:xfrm>
                    <a:prstGeom prst="rect">
                      <a:avLst/>
                    </a:prstGeom>
                    <a:noFill/>
                    <a:ln w="9525">
                      <a:noFill/>
                      <a:miter lim="800000"/>
                      <a:headEnd/>
                      <a:tailEnd/>
                    </a:ln>
                  </pic:spPr>
                </pic:pic>
              </a:graphicData>
            </a:graphic>
          </wp:inline>
        </w:drawing>
      </w:r>
    </w:p>
    <w:p w:rsidR="0025059F" w:rsidRPr="0005013E" w:rsidRDefault="0025059F">
      <w:pPr>
        <w:rPr>
          <w:i/>
        </w:rPr>
      </w:pPr>
      <w:r>
        <w:rPr>
          <w:b/>
        </w:rPr>
        <w:t>Angus MacKay</w:t>
      </w:r>
      <w:r>
        <w:t xml:space="preserve">’s score—the </w:t>
      </w:r>
      <w:r w:rsidR="00A94A79">
        <w:t>sole</w:t>
      </w:r>
      <w:r>
        <w:t xml:space="preserve"> earlier source for the tune--presents us with</w:t>
      </w:r>
      <w:r w:rsidR="00540BDC">
        <w:t xml:space="preserve"> a number of problems.  There seems to be</w:t>
      </w:r>
      <w:r>
        <w:t xml:space="preserve"> a significant mis-match between the structure of the ground and variations one and two, which are framed as three lines of six bars each, and the later movements following variation three, also three lines, but of a more orthodox (and musically more pleasing) six, six</w:t>
      </w:r>
      <w:r w:rsidR="00A94A79">
        <w:t>,</w:t>
      </w:r>
      <w:r>
        <w:t xml:space="preserve"> four construction.  It is not unusual in </w:t>
      </w:r>
      <w:r>
        <w:rPr>
          <w:i/>
        </w:rPr>
        <w:t xml:space="preserve">piobaireachd </w:t>
      </w:r>
      <w:r>
        <w:t xml:space="preserve">for the meter to be contracted as a means of </w:t>
      </w:r>
      <w:r w:rsidR="008F17F8">
        <w:t xml:space="preserve">imparting a higher </w:t>
      </w:r>
      <w:r>
        <w:t xml:space="preserve">charge to later variations as we see in several cases in the </w:t>
      </w:r>
      <w:r w:rsidR="009F173B">
        <w:t>present series</w:t>
      </w:r>
      <w:r>
        <w:t xml:space="preserve">.  But we appear to be </w:t>
      </w:r>
      <w:r>
        <w:lastRenderedPageBreak/>
        <w:t xml:space="preserve">looking </w:t>
      </w:r>
      <w:r w:rsidR="009F173B">
        <w:t xml:space="preserve">here </w:t>
      </w:r>
      <w:r>
        <w:t xml:space="preserve">at structural dislocation rather than natural development.  </w:t>
      </w:r>
      <w:r w:rsidR="0005013E">
        <w:t xml:space="preserve">MacKay’s </w:t>
      </w:r>
      <w:r w:rsidR="0005013E">
        <w:rPr>
          <w:i/>
        </w:rPr>
        <w:t xml:space="preserve">Ancient Piobaireachd </w:t>
      </w:r>
      <w:r w:rsidR="0005013E">
        <w:t xml:space="preserve">(1838) is an edition notorious for its typographical </w:t>
      </w:r>
      <w:r w:rsidR="009F173B">
        <w:t>flaws</w:t>
      </w:r>
      <w:r w:rsidR="0005013E">
        <w:t xml:space="preserve">, and it </w:t>
      </w:r>
      <w:r w:rsidR="00A94A79">
        <w:t>seems likely</w:t>
      </w:r>
      <w:r w:rsidR="0005013E">
        <w:t xml:space="preserve"> that the final proofing was not done by MacKay himself.  </w:t>
      </w:r>
      <w:r w:rsidR="00540BDC">
        <w:t xml:space="preserve">It looks as if </w:t>
      </w:r>
      <w:r w:rsidR="0005013E">
        <w:t>whoever saw the volume through the press</w:t>
      </w:r>
      <w:r w:rsidR="00CA4F2C">
        <w:t xml:space="preserve"> had to juggle with the barring to get even a semblance of regularity</w:t>
      </w:r>
      <w:r w:rsidR="00BF244A">
        <w:t xml:space="preserve"> in the ground</w:t>
      </w:r>
      <w:r w:rsidR="00CA4F2C">
        <w:t xml:space="preserve">, and </w:t>
      </w:r>
      <w:r w:rsidR="0005013E">
        <w:t>the</w:t>
      </w:r>
      <w:r w:rsidR="00CA4F2C">
        <w:t xml:space="preserve"> second variation seems to </w:t>
      </w:r>
      <w:r w:rsidR="00BF244A">
        <w:t xml:space="preserve">drift so awkwardly </w:t>
      </w:r>
      <w:r w:rsidR="00540BDC">
        <w:t>between 3/4 and 4/4 that it is difficult to see how it could be played</w:t>
      </w:r>
      <w:r w:rsidR="00CA4F2C">
        <w:t>.</w:t>
      </w:r>
      <w:r w:rsidR="00540BDC">
        <w:t xml:space="preserve">  </w:t>
      </w:r>
      <w:r w:rsidR="00CA4F2C">
        <w:t xml:space="preserve"> </w:t>
      </w:r>
      <w:r w:rsidR="00322594">
        <w:t xml:space="preserve">The tune was published in volume ten of the </w:t>
      </w:r>
      <w:r w:rsidR="00322594">
        <w:rPr>
          <w:i/>
        </w:rPr>
        <w:t>Piobaireachd Society Collection (Second Series)</w:t>
      </w:r>
      <w:r w:rsidR="00322594">
        <w:t>, its single modern appearance in print.  There, the editors—James Campbell and Archibald Kenneth—suggest that the tune be reduced to a</w:t>
      </w:r>
      <w:r w:rsidR="00A94A79">
        <w:t xml:space="preserve">n overall six, six, four </w:t>
      </w:r>
      <w:r w:rsidR="00322594">
        <w:t>pattern by dropping two bars from the third line in the ground and in variations one and two</w:t>
      </w:r>
      <w:r w:rsidR="00BF244A">
        <w:t xml:space="preserve">, but </w:t>
      </w:r>
      <w:r w:rsidR="00E64827">
        <w:t xml:space="preserve">although they adjust MacKay’s barring, </w:t>
      </w:r>
      <w:r w:rsidR="00BF244A">
        <w:t xml:space="preserve">they leave the ground in 4/4, and it is difficult to see how a plausible rhythmical pattern could be </w:t>
      </w:r>
      <w:r w:rsidR="00016A2A">
        <w:t>deduced</w:t>
      </w:r>
      <w:r w:rsidR="00463D77">
        <w:t xml:space="preserve"> from this</w:t>
      </w:r>
      <w:r w:rsidR="00BF244A">
        <w:t xml:space="preserve"> score</w:t>
      </w:r>
      <w:r w:rsidR="00322594">
        <w:t xml:space="preserve">.  </w:t>
      </w:r>
      <w:r w:rsidR="00662F1F">
        <w:t xml:space="preserve">The MP3 file </w:t>
      </w:r>
      <w:r w:rsidR="00F83AD5">
        <w:t>accompanying</w:t>
      </w:r>
      <w:r w:rsidR="00662F1F">
        <w:t xml:space="preserve"> the present text suggests a possible, more highly cadenced, route through the ground and first variation that might address some at least of these problems.  </w:t>
      </w:r>
      <w:r w:rsidR="00322594">
        <w:rPr>
          <w:i/>
        </w:rPr>
        <w:t xml:space="preserve"> </w:t>
      </w:r>
    </w:p>
    <w:p w:rsidR="0005013E" w:rsidRDefault="0005013E">
      <w:pPr>
        <w:rPr>
          <w:b/>
        </w:rPr>
      </w:pPr>
    </w:p>
    <w:p w:rsidR="0005013E" w:rsidRDefault="00321C39">
      <w:r>
        <w:rPr>
          <w:b/>
        </w:rPr>
        <w:t xml:space="preserve">C.S. Thomason </w:t>
      </w:r>
      <w:r>
        <w:t>sets the tune as follows:</w:t>
      </w:r>
    </w:p>
    <w:p w:rsidR="00321C39" w:rsidRDefault="00321C39">
      <w:r>
        <w:rPr>
          <w:noProof/>
          <w:sz w:val="20"/>
        </w:rPr>
        <w:drawing>
          <wp:inline distT="0" distB="0" distL="0" distR="0">
            <wp:extent cx="5266055" cy="2954655"/>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66055" cy="2954655"/>
                    </a:xfrm>
                    <a:prstGeom prst="rect">
                      <a:avLst/>
                    </a:prstGeom>
                    <a:noFill/>
                    <a:ln w="9525">
                      <a:noFill/>
                      <a:miter lim="800000"/>
                      <a:headEnd/>
                      <a:tailEnd/>
                    </a:ln>
                  </pic:spPr>
                </pic:pic>
              </a:graphicData>
            </a:graphic>
          </wp:inline>
        </w:drawing>
      </w:r>
    </w:p>
    <w:p w:rsidR="0005013E" w:rsidRDefault="0005013E">
      <w:pPr>
        <w:rPr>
          <w:b/>
        </w:rPr>
      </w:pPr>
      <w:r>
        <w:rPr>
          <w:b/>
          <w:noProof/>
        </w:rPr>
        <w:lastRenderedPageBreak/>
        <w:drawing>
          <wp:inline distT="0" distB="0" distL="0" distR="0">
            <wp:extent cx="5486400" cy="3048000"/>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86400" cy="3048000"/>
                    </a:xfrm>
                    <a:prstGeom prst="rect">
                      <a:avLst/>
                    </a:prstGeom>
                    <a:noFill/>
                    <a:ln w="9525">
                      <a:noFill/>
                      <a:miter lim="800000"/>
                      <a:headEnd/>
                      <a:tailEnd/>
                    </a:ln>
                  </pic:spPr>
                </pic:pic>
              </a:graphicData>
            </a:graphic>
          </wp:inline>
        </w:drawing>
      </w:r>
    </w:p>
    <w:p w:rsidR="0044025F" w:rsidRDefault="0005013E">
      <w:r>
        <w:rPr>
          <w:b/>
        </w:rPr>
        <w:t>Thomason</w:t>
      </w:r>
      <w:r>
        <w:rPr>
          <w:b/>
          <w:i/>
        </w:rPr>
        <w:t xml:space="preserve"> </w:t>
      </w:r>
      <w:r>
        <w:t xml:space="preserve">proposes one minor emendation, replacing MacKay’s final E in the first bar of line two of the third variation with a more plausible-sounding F on analogy with a similar movement in bar thirteen of the ground, and he repeats the first line of each part throughout, but otherwise his setting is substantially that of MacKay’s.  </w:t>
      </w:r>
    </w:p>
    <w:p w:rsidR="0005013E" w:rsidRPr="0044025F" w:rsidRDefault="0005013E"/>
    <w:p w:rsidR="005F4531" w:rsidRDefault="005F4531">
      <w:r>
        <w:rPr>
          <w:b/>
        </w:rPr>
        <w:t>David Glen</w:t>
      </w:r>
      <w:r>
        <w:rPr>
          <w:b/>
          <w:i/>
        </w:rPr>
        <w:t xml:space="preserve"> </w:t>
      </w:r>
      <w:r>
        <w:t>sets the tune as follows:</w:t>
      </w:r>
    </w:p>
    <w:p w:rsidR="00F84EF4" w:rsidRDefault="00F84EF4"/>
    <w:p w:rsidR="00F84EF4" w:rsidRDefault="00F84EF4"/>
    <w:p w:rsidR="00774862" w:rsidRPr="005F4531" w:rsidRDefault="00F84EF4">
      <w:r>
        <w:rPr>
          <w:noProof/>
          <w:sz w:val="20"/>
        </w:rPr>
        <w:lastRenderedPageBreak/>
        <w:drawing>
          <wp:inline distT="0" distB="0" distL="0" distR="0">
            <wp:extent cx="4546600" cy="6400800"/>
            <wp:effectExtent l="2540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553272" cy="6410193"/>
                    </a:xfrm>
                    <a:prstGeom prst="rect">
                      <a:avLst/>
                    </a:prstGeom>
                    <a:noFill/>
                    <a:ln w="9525">
                      <a:noFill/>
                      <a:miter lim="800000"/>
                      <a:headEnd/>
                      <a:tailEnd/>
                    </a:ln>
                  </pic:spPr>
                </pic:pic>
              </a:graphicData>
            </a:graphic>
          </wp:inline>
        </w:drawing>
      </w:r>
    </w:p>
    <w:p w:rsidR="00F84EF4" w:rsidRDefault="0044025F">
      <w:r w:rsidRPr="0044025F">
        <w:rPr>
          <w:noProof/>
        </w:rPr>
        <w:lastRenderedPageBreak/>
        <w:drawing>
          <wp:inline distT="0" distB="0" distL="0" distR="0">
            <wp:extent cx="4923096" cy="6629400"/>
            <wp:effectExtent l="25400" t="0" r="4504"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923096" cy="6629400"/>
                    </a:xfrm>
                    <a:prstGeom prst="rect">
                      <a:avLst/>
                    </a:prstGeom>
                    <a:noFill/>
                    <a:ln w="9525">
                      <a:noFill/>
                      <a:miter lim="800000"/>
                      <a:headEnd/>
                      <a:tailEnd/>
                    </a:ln>
                  </pic:spPr>
                </pic:pic>
              </a:graphicData>
            </a:graphic>
          </wp:inline>
        </w:drawing>
      </w:r>
    </w:p>
    <w:p w:rsidR="001B14AA" w:rsidRDefault="001B14AA">
      <w:r>
        <w:rPr>
          <w:noProof/>
          <w:sz w:val="20"/>
        </w:rPr>
        <w:lastRenderedPageBreak/>
        <w:drawing>
          <wp:inline distT="0" distB="0" distL="0" distR="0">
            <wp:extent cx="5266055" cy="7230745"/>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266055" cy="7230745"/>
                    </a:xfrm>
                    <a:prstGeom prst="rect">
                      <a:avLst/>
                    </a:prstGeom>
                    <a:noFill/>
                    <a:ln w="9525">
                      <a:noFill/>
                      <a:miter lim="800000"/>
                      <a:headEnd/>
                      <a:tailEnd/>
                    </a:ln>
                  </pic:spPr>
                </pic:pic>
              </a:graphicData>
            </a:graphic>
          </wp:inline>
        </w:drawing>
      </w:r>
    </w:p>
    <w:p w:rsidR="00F84EF4" w:rsidRDefault="00F84EF4"/>
    <w:p w:rsidR="005B1A61" w:rsidRDefault="00825572">
      <w:r>
        <w:t>Glen seems clearly right to opt for 2/4</w:t>
      </w:r>
      <w:r w:rsidR="005B1A61">
        <w:t xml:space="preserve"> rather than 4/4 for the ground, making the piece a little less lumpish and square, </w:t>
      </w:r>
      <w:r w:rsidR="0044025F">
        <w:t xml:space="preserve">and his is the pick of the available scores from a playing point of view, </w:t>
      </w:r>
      <w:r w:rsidR="005B1A61">
        <w:t xml:space="preserve">but he does </w:t>
      </w:r>
      <w:r w:rsidR="0044025F">
        <w:t xml:space="preserve">little else </w:t>
      </w:r>
      <w:r w:rsidR="005B1A61">
        <w:t xml:space="preserve">of significance to the tune.  </w:t>
      </w:r>
    </w:p>
    <w:p w:rsidR="00C62BF2" w:rsidRPr="00086EE6" w:rsidRDefault="00C62BF2">
      <w:pPr>
        <w:rPr>
          <w:i/>
          <w:sz w:val="28"/>
        </w:rPr>
      </w:pPr>
      <w:r w:rsidRPr="00086EE6">
        <w:rPr>
          <w:i/>
          <w:sz w:val="28"/>
        </w:rPr>
        <w:lastRenderedPageBreak/>
        <w:t>Commentary:</w:t>
      </w:r>
    </w:p>
    <w:p w:rsidR="007142A5" w:rsidRPr="00BA0314" w:rsidRDefault="00C62BF2">
      <w:r>
        <w:t xml:space="preserve">The fact  that this is nowhere recorded in </w:t>
      </w:r>
      <w:r w:rsidR="00086EE6">
        <w:t>MS</w:t>
      </w:r>
      <w:r>
        <w:t xml:space="preserve">, </w:t>
      </w:r>
      <w:r w:rsidR="005B7720">
        <w:t xml:space="preserve">and </w:t>
      </w:r>
      <w:r>
        <w:t xml:space="preserve">that </w:t>
      </w:r>
      <w:r w:rsidR="00086EE6">
        <w:t xml:space="preserve">neither Thomason nor Glen seriously </w:t>
      </w:r>
      <w:r w:rsidR="00F721F0">
        <w:t>attempted</w:t>
      </w:r>
      <w:r w:rsidR="00086EE6">
        <w:t xml:space="preserve"> to </w:t>
      </w:r>
      <w:r w:rsidR="009F173B">
        <w:t>revise</w:t>
      </w:r>
      <w:r w:rsidR="00086EE6">
        <w:t xml:space="preserve"> it</w:t>
      </w:r>
      <w:r>
        <w:t xml:space="preserve">, </w:t>
      </w:r>
      <w:r w:rsidR="00185479">
        <w:t>suggests</w:t>
      </w:r>
      <w:r>
        <w:t xml:space="preserve"> how narrowly </w:t>
      </w:r>
      <w:r w:rsidR="00086EE6">
        <w:t xml:space="preserve">“The Red Hand in the MacDonalds’ Arms” </w:t>
      </w:r>
      <w:r w:rsidR="005B7720">
        <w:t>was distributed.  That it was never a favourite is further</w:t>
      </w:r>
      <w:r w:rsidR="00185479">
        <w:t xml:space="preserve"> </w:t>
      </w:r>
      <w:r w:rsidR="005B7720">
        <w:t xml:space="preserve">implied </w:t>
      </w:r>
      <w:r w:rsidR="00185479">
        <w:t xml:space="preserve">by the fact that not even an </w:t>
      </w:r>
      <w:r w:rsidR="00BB4915">
        <w:t>indefatigable</w:t>
      </w:r>
      <w:r w:rsidR="00185479">
        <w:t xml:space="preserve"> antiquarian like James Logan </w:t>
      </w:r>
      <w:r w:rsidR="002B7449">
        <w:t>could</w:t>
      </w:r>
      <w:r w:rsidR="00185479">
        <w:t xml:space="preserve"> dig up </w:t>
      </w:r>
      <w:r w:rsidR="005B7720">
        <w:t xml:space="preserve">material </w:t>
      </w:r>
      <w:r w:rsidR="00185479">
        <w:t xml:space="preserve"> on it for the historical notes to Angus MacKay’s published volume</w:t>
      </w:r>
      <w:r w:rsidR="007142A5">
        <w:t>.</w:t>
      </w:r>
      <w:r w:rsidR="00BA0314">
        <w:t xml:space="preserve">  </w:t>
      </w:r>
      <w:r w:rsidR="00BA0314" w:rsidRPr="00BA0314">
        <w:t xml:space="preserve">Nor is there anything in Thomason’s “Ceol Mor Legends” or in the </w:t>
      </w:r>
      <w:r w:rsidR="00BA0314" w:rsidRPr="00BA0314">
        <w:rPr>
          <w:i/>
        </w:rPr>
        <w:t>Oban Times</w:t>
      </w:r>
      <w:r w:rsidR="00BA0314" w:rsidRPr="00BA0314">
        <w:t xml:space="preserve"> about the background to this tune.</w:t>
      </w:r>
      <w:r w:rsidR="00BA0314">
        <w:t xml:space="preserve">  </w:t>
      </w:r>
    </w:p>
    <w:p w:rsidR="002D7BA2" w:rsidRPr="00C74C25" w:rsidRDefault="00BA0314" w:rsidP="007142A5">
      <w:pPr>
        <w:rPr>
          <w:i/>
        </w:rPr>
      </w:pPr>
      <w:r>
        <w:t xml:space="preserve">Here, however, is what </w:t>
      </w:r>
      <w:r w:rsidR="007142A5">
        <w:t xml:space="preserve">“Fionn” </w:t>
      </w:r>
      <w:r>
        <w:t>says about it</w:t>
      </w:r>
      <w:r w:rsidR="007142A5">
        <w:t xml:space="preserve"> in David Glen’s </w:t>
      </w:r>
      <w:r w:rsidR="007142A5">
        <w:rPr>
          <w:i/>
        </w:rPr>
        <w:t>Collection of Ancient Piobaireachd:</w:t>
      </w:r>
    </w:p>
    <w:p w:rsidR="002D7BA2" w:rsidRPr="007142A5" w:rsidRDefault="002D7BA2" w:rsidP="007142A5">
      <w:pPr>
        <w:ind w:left="720" w:right="990"/>
        <w:jc w:val="center"/>
        <w:rPr>
          <w:b/>
          <w:bCs/>
          <w:sz w:val="20"/>
        </w:rPr>
      </w:pPr>
      <w:r w:rsidRPr="007142A5">
        <w:rPr>
          <w:b/>
          <w:bCs/>
          <w:sz w:val="20"/>
        </w:rPr>
        <w:t>The Red Hand in the MacDonalds' Arms</w:t>
      </w:r>
    </w:p>
    <w:p w:rsidR="002D7BA2" w:rsidRPr="00BA0314" w:rsidRDefault="002D7BA2" w:rsidP="00BA0314">
      <w:pPr>
        <w:ind w:left="720" w:right="990"/>
        <w:jc w:val="center"/>
        <w:rPr>
          <w:b/>
          <w:bCs/>
          <w:sz w:val="20"/>
        </w:rPr>
      </w:pPr>
      <w:r w:rsidRPr="007142A5">
        <w:rPr>
          <w:b/>
          <w:bCs/>
          <w:sz w:val="20"/>
        </w:rPr>
        <w:t>Lamh Dhearg Chloinn Dòmhnuill</w:t>
      </w:r>
    </w:p>
    <w:p w:rsidR="00C74C25" w:rsidRDefault="002D7BA2" w:rsidP="007142A5">
      <w:pPr>
        <w:ind w:left="720" w:right="990"/>
        <w:rPr>
          <w:sz w:val="20"/>
        </w:rPr>
      </w:pPr>
      <w:r w:rsidRPr="007142A5">
        <w:rPr>
          <w:sz w:val="20"/>
        </w:rPr>
        <w:t xml:space="preserve">How the MacDonalds got the Red Hand which is ever associated with them is well known. Somerled of the Isles had three sons </w:t>
      </w:r>
      <w:r w:rsidRPr="007142A5">
        <w:rPr>
          <w:sz w:val="20"/>
        </w:rPr>
        <w:noBreakHyphen/>
        <w:t xml:space="preserve"> Dugald, Reginald, and Duncan </w:t>
      </w:r>
      <w:r w:rsidRPr="007142A5">
        <w:rPr>
          <w:sz w:val="20"/>
        </w:rPr>
        <w:noBreakHyphen/>
        <w:t xml:space="preserve"> who disputed as to which of them should have the lands of Slate in Skye. At last it was decided that each of them should man his own birlinn and race for Skye from some of the other Western Isles, and that the land should belong to the son who first placed his hand on it.  In this race Dugald's boat was soon left behind.  Duncan's boat began to leak at the plug, which he withdrew, inserted his thumb to </w:t>
      </w:r>
      <w:r w:rsidR="00BB4915">
        <w:rPr>
          <w:sz w:val="20"/>
        </w:rPr>
        <w:t>make it tight, and urging his me</w:t>
      </w:r>
      <w:r w:rsidRPr="007142A5">
        <w:rPr>
          <w:sz w:val="20"/>
        </w:rPr>
        <w:t>n was on the point of winning.  When Reginald saw this, he placed his left hand on the gunwale of his own boat, severed it at the wrist with a blow from the claymore in his right, threw it ashore, and as the red hand was the first to touch the land he got himself declared winner.</w:t>
      </w:r>
      <w:r w:rsidR="007142A5" w:rsidRPr="007142A5">
        <w:rPr>
          <w:sz w:val="20"/>
        </w:rPr>
        <w:t xml:space="preserve"> </w:t>
      </w:r>
      <w:r w:rsidR="007142A5">
        <w:rPr>
          <w:sz w:val="20"/>
        </w:rPr>
        <w:t>(</w:t>
      </w:r>
      <w:r w:rsidR="007142A5" w:rsidRPr="007142A5">
        <w:rPr>
          <w:sz w:val="20"/>
        </w:rPr>
        <w:t>“Historic, Biographic</w:t>
      </w:r>
      <w:r w:rsidR="007142A5">
        <w:rPr>
          <w:sz w:val="20"/>
        </w:rPr>
        <w:t>, and Legendary Notes”, p.19).</w:t>
      </w:r>
    </w:p>
    <w:p w:rsidR="00C043B1" w:rsidRDefault="00C74C25" w:rsidP="007142A5">
      <w:pPr>
        <w:ind w:left="720" w:right="990"/>
        <w:rPr>
          <w:sz w:val="20"/>
        </w:rPr>
      </w:pPr>
      <w:r>
        <w:rPr>
          <w:sz w:val="20"/>
        </w:rPr>
        <w:tab/>
      </w:r>
      <w:r>
        <w:rPr>
          <w:sz w:val="20"/>
        </w:rPr>
        <w:tab/>
      </w:r>
      <w:r>
        <w:rPr>
          <w:sz w:val="20"/>
        </w:rPr>
        <w:tab/>
      </w:r>
    </w:p>
    <w:p w:rsidR="00C74C25" w:rsidRPr="00C74C25" w:rsidRDefault="00C043B1" w:rsidP="00C043B1">
      <w:pPr>
        <w:ind w:left="2160" w:right="990" w:firstLine="720"/>
      </w:pPr>
      <w:r>
        <w:rPr>
          <w:sz w:val="20"/>
        </w:rPr>
        <w:t>*</w:t>
      </w:r>
      <w:r w:rsidR="00C74C25">
        <w:rPr>
          <w:sz w:val="20"/>
        </w:rPr>
        <w:tab/>
        <w:t>*</w:t>
      </w:r>
      <w:r>
        <w:rPr>
          <w:sz w:val="20"/>
        </w:rPr>
        <w:tab/>
        <w:t>*</w:t>
      </w:r>
    </w:p>
    <w:p w:rsidR="00C74C25" w:rsidRDefault="00C74C25" w:rsidP="00C74C25">
      <w:pPr>
        <w:tabs>
          <w:tab w:val="left" w:pos="7740"/>
          <w:tab w:val="left" w:pos="8550"/>
        </w:tabs>
        <w:ind w:right="90"/>
        <w:rPr>
          <w:sz w:val="20"/>
        </w:rPr>
      </w:pPr>
    </w:p>
    <w:p w:rsidR="00C043B1" w:rsidRDefault="00C043B1" w:rsidP="00C74C25">
      <w:pPr>
        <w:tabs>
          <w:tab w:val="left" w:pos="7740"/>
          <w:tab w:val="left" w:pos="8550"/>
        </w:tabs>
        <w:ind w:right="90"/>
        <w:rPr>
          <w:sz w:val="20"/>
        </w:rPr>
      </w:pPr>
    </w:p>
    <w:p w:rsidR="002D7BA2" w:rsidRPr="007142A5" w:rsidRDefault="00C74C25" w:rsidP="00C74C25">
      <w:pPr>
        <w:tabs>
          <w:tab w:val="left" w:pos="7740"/>
          <w:tab w:val="left" w:pos="8550"/>
        </w:tabs>
        <w:ind w:right="90"/>
        <w:rPr>
          <w:sz w:val="20"/>
        </w:rPr>
      </w:pPr>
      <w:r>
        <w:rPr>
          <w:sz w:val="20"/>
        </w:rPr>
        <w:t>Electronic text © Dr. William Donaldson, Cambridge, Massachusetts, 30 March 2014</w:t>
      </w:r>
    </w:p>
    <w:p w:rsidR="002D7BA2" w:rsidRPr="007142A5" w:rsidRDefault="002D7BA2" w:rsidP="007142A5">
      <w:pPr>
        <w:ind w:left="720" w:right="990"/>
        <w:rPr>
          <w:sz w:val="20"/>
        </w:rPr>
      </w:pPr>
    </w:p>
    <w:p w:rsidR="002D7BA2" w:rsidRPr="00CF405C" w:rsidRDefault="002D7BA2" w:rsidP="002D7BA2">
      <w:pPr>
        <w:rPr>
          <w:sz w:val="20"/>
        </w:rPr>
      </w:pPr>
    </w:p>
    <w:p w:rsidR="00000000" w:rsidRPr="00C62BF2" w:rsidRDefault="00000000"/>
    <w:sectPr w:rsidR="00AD0D55" w:rsidRPr="00C62BF2" w:rsidSect="007357A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C62BF2"/>
    <w:rsid w:val="00016A2A"/>
    <w:rsid w:val="00021BB7"/>
    <w:rsid w:val="0005013E"/>
    <w:rsid w:val="00055EED"/>
    <w:rsid w:val="00086EE6"/>
    <w:rsid w:val="000A68AB"/>
    <w:rsid w:val="00185479"/>
    <w:rsid w:val="001B14AA"/>
    <w:rsid w:val="0025059F"/>
    <w:rsid w:val="002A7260"/>
    <w:rsid w:val="002B7449"/>
    <w:rsid w:val="002D7BA2"/>
    <w:rsid w:val="00321C39"/>
    <w:rsid w:val="00322594"/>
    <w:rsid w:val="003F2EE5"/>
    <w:rsid w:val="0044025F"/>
    <w:rsid w:val="00462314"/>
    <w:rsid w:val="00463D77"/>
    <w:rsid w:val="004846A4"/>
    <w:rsid w:val="00540BDC"/>
    <w:rsid w:val="005440AF"/>
    <w:rsid w:val="005B1A61"/>
    <w:rsid w:val="005B40B4"/>
    <w:rsid w:val="005B7720"/>
    <w:rsid w:val="005D1A59"/>
    <w:rsid w:val="005F4531"/>
    <w:rsid w:val="006454B1"/>
    <w:rsid w:val="00662F1F"/>
    <w:rsid w:val="007132F3"/>
    <w:rsid w:val="007142A5"/>
    <w:rsid w:val="00774862"/>
    <w:rsid w:val="00825572"/>
    <w:rsid w:val="00881BEE"/>
    <w:rsid w:val="008E6353"/>
    <w:rsid w:val="008F17F8"/>
    <w:rsid w:val="008F612E"/>
    <w:rsid w:val="0094589D"/>
    <w:rsid w:val="009D6A4C"/>
    <w:rsid w:val="009F173B"/>
    <w:rsid w:val="00A76989"/>
    <w:rsid w:val="00A94A79"/>
    <w:rsid w:val="00B86744"/>
    <w:rsid w:val="00BA0314"/>
    <w:rsid w:val="00BB4915"/>
    <w:rsid w:val="00BF244A"/>
    <w:rsid w:val="00C043B1"/>
    <w:rsid w:val="00C41E11"/>
    <w:rsid w:val="00C62BF2"/>
    <w:rsid w:val="00C74C25"/>
    <w:rsid w:val="00CA4F2C"/>
    <w:rsid w:val="00DB7FD8"/>
    <w:rsid w:val="00E64827"/>
    <w:rsid w:val="00F105DA"/>
    <w:rsid w:val="00F721F0"/>
    <w:rsid w:val="00F83AD5"/>
    <w:rsid w:val="00F84EF4"/>
    <w:rsid w:val="00FA0C80"/>
    <w:rsid w:val="00FA509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16FED"/>
  <w15:docId w15:val="{2F5A2ACD-C712-614E-B2F5-E4839598D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A3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10971">
      <w:bodyDiv w:val="1"/>
      <w:marLeft w:val="0"/>
      <w:marRight w:val="0"/>
      <w:marTop w:val="0"/>
      <w:marBottom w:val="0"/>
      <w:divBdr>
        <w:top w:val="none" w:sz="0" w:space="0" w:color="auto"/>
        <w:left w:val="none" w:sz="0" w:space="0" w:color="auto"/>
        <w:bottom w:val="none" w:sz="0" w:space="0" w:color="auto"/>
        <w:right w:val="none" w:sz="0" w:space="0" w:color="auto"/>
      </w:divBdr>
      <w:divsChild>
        <w:div w:id="1511211290">
          <w:marLeft w:val="0"/>
          <w:marRight w:val="0"/>
          <w:marTop w:val="0"/>
          <w:marBottom w:val="0"/>
          <w:divBdr>
            <w:top w:val="none" w:sz="0" w:space="0" w:color="auto"/>
            <w:left w:val="none" w:sz="0" w:space="0" w:color="auto"/>
            <w:bottom w:val="none" w:sz="0" w:space="0" w:color="auto"/>
            <w:right w:val="none" w:sz="0" w:space="0" w:color="auto"/>
          </w:divBdr>
          <w:divsChild>
            <w:div w:id="1954552025">
              <w:marLeft w:val="0"/>
              <w:marRight w:val="0"/>
              <w:marTop w:val="0"/>
              <w:marBottom w:val="0"/>
              <w:divBdr>
                <w:top w:val="none" w:sz="0" w:space="0" w:color="auto"/>
                <w:left w:val="none" w:sz="0" w:space="0" w:color="auto"/>
                <w:bottom w:val="none" w:sz="0" w:space="0" w:color="auto"/>
                <w:right w:val="none" w:sz="0" w:space="0" w:color="auto"/>
              </w:divBdr>
              <w:divsChild>
                <w:div w:id="106313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686</Words>
  <Characters>3915</Characters>
  <Application>Microsoft Office Word</Application>
  <DocSecurity>0</DocSecurity>
  <Lines>32</Lines>
  <Paragraphs>9</Paragraphs>
  <ScaleCrop>false</ScaleCrop>
  <Company>M.I.T.</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cp:lastModifiedBy>William Donaldson</cp:lastModifiedBy>
  <cp:revision>2</cp:revision>
  <dcterms:created xsi:type="dcterms:W3CDTF">2025-02-26T23:05:00Z</dcterms:created>
  <dcterms:modified xsi:type="dcterms:W3CDTF">2025-02-26T23:05:00Z</dcterms:modified>
</cp:coreProperties>
</file>