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D7EEAC" w14:textId="77777777" w:rsidR="009E7722" w:rsidRDefault="009E7722">
      <w:pPr>
        <w:pBdr>
          <w:bottom w:val="single" w:sz="6" w:space="1" w:color="auto"/>
        </w:pBdr>
        <w:rPr>
          <w:sz w:val="28"/>
        </w:rPr>
      </w:pPr>
      <w:r>
        <w:rPr>
          <w:sz w:val="28"/>
        </w:rPr>
        <w:t>Lament for the Departure of King James</w:t>
      </w:r>
    </w:p>
    <w:p w14:paraId="5EEBFA73" w14:textId="77777777" w:rsidR="007D23EC" w:rsidRDefault="009E7722">
      <w:r>
        <w:t>There are settings of this tune in the following manuscript sources:</w:t>
      </w:r>
    </w:p>
    <w:p w14:paraId="1DF3EFF0" w14:textId="77777777" w:rsidR="007D23EC" w:rsidRDefault="007D23EC" w:rsidP="007D23EC">
      <w:pPr>
        <w:spacing w:after="0"/>
      </w:pPr>
      <w:r>
        <w:rPr>
          <w:b/>
        </w:rPr>
        <w:t>--Colin Mór Campbell</w:t>
      </w:r>
      <w:r>
        <w:t>’s “Nether Lorn Canntaireachd”, ii, 102-3;</w:t>
      </w:r>
    </w:p>
    <w:p w14:paraId="32487BB7" w14:textId="77777777" w:rsidR="007D23EC" w:rsidRDefault="007D23EC" w:rsidP="007D23EC">
      <w:pPr>
        <w:spacing w:after="0"/>
      </w:pPr>
      <w:r>
        <w:rPr>
          <w:b/>
        </w:rPr>
        <w:t>--Angus MacKay</w:t>
      </w:r>
      <w:r>
        <w:t>’s MS, ii, 83-4;</w:t>
      </w:r>
    </w:p>
    <w:p w14:paraId="21BEF7CB" w14:textId="77777777" w:rsidR="007D23EC" w:rsidRDefault="007D23EC" w:rsidP="007D23EC">
      <w:pPr>
        <w:spacing w:after="0"/>
      </w:pPr>
      <w:r>
        <w:rPr>
          <w:b/>
        </w:rPr>
        <w:t>--Colin Cameron</w:t>
      </w:r>
      <w:r>
        <w:t>’s MS, ff.109-10;</w:t>
      </w:r>
    </w:p>
    <w:p w14:paraId="3634F832" w14:textId="77777777" w:rsidR="007D23EC" w:rsidRDefault="007D23EC" w:rsidP="007D23EC">
      <w:pPr>
        <w:spacing w:after="0"/>
      </w:pPr>
      <w:r>
        <w:rPr>
          <w:b/>
        </w:rPr>
        <w:t>--Uilleam Ross</w:t>
      </w:r>
      <w:r>
        <w:t>’s MS, ff.262-3;</w:t>
      </w:r>
    </w:p>
    <w:p w14:paraId="29225AA6" w14:textId="77777777" w:rsidR="007D23EC" w:rsidRDefault="007D23EC" w:rsidP="007D23EC">
      <w:pPr>
        <w:spacing w:after="0"/>
      </w:pPr>
      <w:r>
        <w:rPr>
          <w:b/>
        </w:rPr>
        <w:t>--John MacDougall Gillies</w:t>
      </w:r>
      <w:r>
        <w:t>’s MS, ff.26-7;</w:t>
      </w:r>
    </w:p>
    <w:p w14:paraId="25FC6CE5" w14:textId="77777777" w:rsidR="007D23EC" w:rsidRDefault="007D23EC" w:rsidP="007D23EC">
      <w:pPr>
        <w:spacing w:after="0"/>
      </w:pPr>
      <w:r>
        <w:rPr>
          <w:b/>
        </w:rPr>
        <w:t>--David Glen</w:t>
      </w:r>
      <w:r>
        <w:t>’s MS, ff.171-2;</w:t>
      </w:r>
    </w:p>
    <w:p w14:paraId="5FEA57D2" w14:textId="404DBCF3" w:rsidR="002E1BA9" w:rsidRDefault="002E1BA9" w:rsidP="007D23EC">
      <w:pPr>
        <w:spacing w:after="0"/>
        <w:rPr>
          <w:rFonts w:ascii="匀礀洀戀漀氀" w:hAnsi="匀礀洀戀漀氀"/>
        </w:rPr>
      </w:pPr>
      <w:r>
        <w:rPr>
          <w:b/>
        </w:rPr>
        <w:t xml:space="preserve">--Lt. </w:t>
      </w:r>
      <w:r w:rsidR="00CD4297">
        <w:rPr>
          <w:b/>
        </w:rPr>
        <w:t>John</w:t>
      </w:r>
      <w:r w:rsidR="007D23EC">
        <w:rPr>
          <w:b/>
        </w:rPr>
        <w:t xml:space="preserve"> McLennan</w:t>
      </w:r>
      <w:r w:rsidR="007D23EC">
        <w:rPr>
          <w:rFonts w:ascii="匀礀洀戀漀氀" w:hAnsi="匀礀洀戀漀氀"/>
        </w:rPr>
        <w:t>’s MS</w:t>
      </w:r>
      <w:r w:rsidR="00B95F12">
        <w:rPr>
          <w:rFonts w:ascii="匀礀洀戀漀氀" w:hAnsi="匀礀洀戀漀氀"/>
        </w:rPr>
        <w:t xml:space="preserve"> (NLS, Acc.11516/8)</w:t>
      </w:r>
      <w:r w:rsidR="007D23EC">
        <w:rPr>
          <w:rFonts w:ascii="匀礀洀戀漀氀" w:hAnsi="匀礀洀戀漀氀"/>
        </w:rPr>
        <w:t>,</w:t>
      </w:r>
      <w:r>
        <w:rPr>
          <w:rFonts w:ascii="匀礀洀戀漀氀" w:hAnsi="匀礀洀戀漀氀"/>
        </w:rPr>
        <w:t xml:space="preserve"> f.15;</w:t>
      </w:r>
      <w:r w:rsidR="00B95F12">
        <w:rPr>
          <w:rFonts w:ascii="匀礀洀戀漀氀" w:hAnsi="匀礀洀戀漀氀"/>
        </w:rPr>
        <w:t xml:space="preserve"> </w:t>
      </w:r>
    </w:p>
    <w:p w14:paraId="3C37E9D5" w14:textId="77777777" w:rsidR="00BB06FF" w:rsidRDefault="00BB06FF" w:rsidP="007D23EC">
      <w:pPr>
        <w:spacing w:after="0"/>
        <w:rPr>
          <w:rFonts w:ascii="匀礀洀戀漀氀" w:hAnsi="匀礀洀戀漀氀"/>
        </w:rPr>
      </w:pPr>
    </w:p>
    <w:p w14:paraId="4812625A" w14:textId="77777777" w:rsidR="00BB06FF" w:rsidRDefault="00BB06FF" w:rsidP="007D23EC">
      <w:pPr>
        <w:spacing w:after="0"/>
        <w:rPr>
          <w:rFonts w:ascii="匀礀洀戀漀氀" w:hAnsi="匀礀洀戀漀氀"/>
        </w:rPr>
      </w:pPr>
      <w:r>
        <w:rPr>
          <w:rFonts w:ascii="匀礀洀戀漀氀" w:hAnsi="匀礀洀戀漀氀"/>
        </w:rPr>
        <w:t>and in the following published sources:</w:t>
      </w:r>
    </w:p>
    <w:p w14:paraId="0453E599" w14:textId="77777777" w:rsidR="00EC5E78" w:rsidRDefault="00EC5E78" w:rsidP="007D23EC">
      <w:pPr>
        <w:spacing w:after="0"/>
        <w:rPr>
          <w:rFonts w:ascii="匀礀洀戀漀氀" w:hAnsi="匀礀洀戀漀氀"/>
        </w:rPr>
      </w:pPr>
      <w:r>
        <w:rPr>
          <w:rFonts w:ascii="匀礀洀戀漀氀" w:hAnsi="匀礀洀戀漀氀"/>
          <w:b/>
        </w:rPr>
        <w:t>--Donald MacDonald</w:t>
      </w:r>
      <w:r>
        <w:rPr>
          <w:rFonts w:ascii="匀礀洀戀漀氀" w:hAnsi="匀礀洀戀漀氀"/>
        </w:rPr>
        <w:t xml:space="preserve">, </w:t>
      </w:r>
      <w:r w:rsidRPr="00EC5E78">
        <w:rPr>
          <w:rFonts w:ascii="匀礀洀戀漀氀" w:hAnsi="匀礀洀戀漀氀"/>
          <w:i/>
        </w:rPr>
        <w:t>Collection of Ancient Martial Music</w:t>
      </w:r>
      <w:r>
        <w:rPr>
          <w:rFonts w:ascii="匀礀洀戀漀氀" w:hAnsi="匀礀洀戀漀氀"/>
          <w:i/>
        </w:rPr>
        <w:t xml:space="preserve">, </w:t>
      </w:r>
      <w:r w:rsidRPr="00EC5E78">
        <w:rPr>
          <w:rFonts w:ascii="匀礀洀戀漀氀" w:hAnsi="匀礀洀戀漀氀"/>
        </w:rPr>
        <w:t>pp.89-91;</w:t>
      </w:r>
      <w:r w:rsidR="004C0C48">
        <w:rPr>
          <w:rFonts w:ascii="匀礀洀戀漀氀" w:hAnsi="匀礀洀戀漀氀"/>
        </w:rPr>
        <w:t xml:space="preserve"> (</w:t>
      </w:r>
      <w:r w:rsidR="00131630">
        <w:rPr>
          <w:rFonts w:ascii="匀礀洀戀漀氀" w:hAnsi="匀礀洀戀漀氀"/>
        </w:rPr>
        <w:t>with the title “Suihel Shemes  Lament fo</w:t>
      </w:r>
      <w:r w:rsidR="004C0C48">
        <w:rPr>
          <w:rFonts w:ascii="匀礀洀戀漀氀" w:hAnsi="匀礀洀戀漀氀"/>
        </w:rPr>
        <w:t>r King James’ Departure in 1688</w:t>
      </w:r>
      <w:r w:rsidR="00C87F48">
        <w:rPr>
          <w:rFonts w:ascii="匀礀洀戀漀氀" w:hAnsi="匀礀洀戀漀氀"/>
        </w:rPr>
        <w:t>”</w:t>
      </w:r>
      <w:r w:rsidR="004C0C48">
        <w:rPr>
          <w:rFonts w:ascii="匀礀洀戀漀氀" w:hAnsi="匀礀洀戀漀氀"/>
        </w:rPr>
        <w:t>)</w:t>
      </w:r>
      <w:r w:rsidR="00B947D0">
        <w:rPr>
          <w:rFonts w:ascii="匀礀洀戀漀氀" w:hAnsi="匀礀洀戀漀氀"/>
        </w:rPr>
        <w:t>;</w:t>
      </w:r>
    </w:p>
    <w:p w14:paraId="219BDC53" w14:textId="77777777" w:rsidR="00595B45" w:rsidRDefault="00595B45" w:rsidP="007D23EC">
      <w:pPr>
        <w:spacing w:after="0"/>
        <w:rPr>
          <w:rFonts w:ascii="匀礀洀戀漀氀" w:hAnsi="匀礀洀戀漀氀"/>
        </w:rPr>
      </w:pPr>
      <w:r>
        <w:rPr>
          <w:rFonts w:ascii="匀礀洀戀漀氀" w:hAnsi="匀礀洀戀漀氀"/>
          <w:b/>
        </w:rPr>
        <w:t>--Donald MacPhee</w:t>
      </w:r>
      <w:r>
        <w:rPr>
          <w:rFonts w:ascii="匀礀洀戀漀氀" w:hAnsi="匀礀洀戀漀氀"/>
        </w:rPr>
        <w:t xml:space="preserve">, </w:t>
      </w:r>
      <w:r>
        <w:rPr>
          <w:rFonts w:ascii="匀礀洀戀漀氀" w:hAnsi="匀礀洀戀漀氀"/>
          <w:i/>
        </w:rPr>
        <w:t xml:space="preserve">Collection of Piobaireachd, </w:t>
      </w:r>
      <w:r>
        <w:rPr>
          <w:rFonts w:ascii="匀礀洀戀漀氀" w:hAnsi="匀礀洀戀漀氀"/>
        </w:rPr>
        <w:t>ii, 4;</w:t>
      </w:r>
    </w:p>
    <w:p w14:paraId="73602967" w14:textId="77777777" w:rsidR="009E7722" w:rsidRPr="007D23EC" w:rsidRDefault="00131630" w:rsidP="007D23EC">
      <w:pPr>
        <w:spacing w:after="0"/>
      </w:pPr>
      <w:r>
        <w:rPr>
          <w:rFonts w:ascii="匀礀洀戀漀氀" w:hAnsi="匀礀洀戀漀氀"/>
          <w:b/>
        </w:rPr>
        <w:t>--C. S. Thomason</w:t>
      </w:r>
      <w:r>
        <w:rPr>
          <w:rFonts w:ascii="匀礀洀戀漀氀" w:hAnsi="匀礀洀戀漀氀"/>
        </w:rPr>
        <w:t xml:space="preserve">, </w:t>
      </w:r>
      <w:r>
        <w:rPr>
          <w:rFonts w:ascii="匀礀洀戀漀氀" w:hAnsi="匀礀洀戀漀氀"/>
          <w:i/>
        </w:rPr>
        <w:t xml:space="preserve">Ceol Mor, </w:t>
      </w:r>
      <w:r w:rsidR="004C0C48">
        <w:rPr>
          <w:rFonts w:ascii="匀礀洀戀漀氀" w:hAnsi="匀礀洀戀漀氀"/>
        </w:rPr>
        <w:t>p.18.</w:t>
      </w:r>
      <w:r w:rsidR="007D23EC">
        <w:rPr>
          <w:rFonts w:ascii="匀礀洀戀漀氀" w:hAnsi="匀礀洀戀漀氀"/>
        </w:rPr>
        <w:t xml:space="preserve"> </w:t>
      </w:r>
    </w:p>
    <w:p w14:paraId="4B2138AC" w14:textId="77777777" w:rsidR="005A6832" w:rsidRDefault="005A6832"/>
    <w:p w14:paraId="5487F9D2" w14:textId="77777777" w:rsidR="005A6832" w:rsidRDefault="005A6832">
      <w:r>
        <w:rPr>
          <w:b/>
        </w:rPr>
        <w:t>Colin Campbell</w:t>
      </w:r>
      <w:r>
        <w:t xml:space="preserve"> sets the tune as follows:</w:t>
      </w:r>
    </w:p>
    <w:p w14:paraId="7F87D73C" w14:textId="77777777" w:rsidR="007D23EC" w:rsidRPr="005A6832" w:rsidRDefault="005A6832">
      <w:r>
        <w:rPr>
          <w:noProof/>
        </w:rPr>
        <w:lastRenderedPageBreak/>
        <w:drawing>
          <wp:inline distT="0" distB="0" distL="0" distR="0" wp14:anchorId="2A70FDFE" wp14:editId="4BCCC912">
            <wp:extent cx="5111750" cy="7399905"/>
            <wp:effectExtent l="25400" t="0" r="0" b="0"/>
            <wp:docPr id="1" name="Picture 1" descr="::Desktop:Lament for the Departure of King James, Colin Mor Campbell, Vol 2 p.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Lament for the Departure of King James, Colin Mor Campbell, Vol 2 p.102.jpg"/>
                    <pic:cNvPicPr>
                      <a:picLocks noChangeAspect="1" noChangeArrowheads="1"/>
                    </pic:cNvPicPr>
                  </pic:nvPicPr>
                  <pic:blipFill>
                    <a:blip r:embed="rId4"/>
                    <a:srcRect t="9804"/>
                    <a:stretch>
                      <a:fillRect/>
                    </a:stretch>
                  </pic:blipFill>
                  <pic:spPr bwMode="auto">
                    <a:xfrm>
                      <a:off x="0" y="0"/>
                      <a:ext cx="5111750" cy="7399905"/>
                    </a:xfrm>
                    <a:prstGeom prst="rect">
                      <a:avLst/>
                    </a:prstGeom>
                    <a:noFill/>
                    <a:ln w="9525">
                      <a:noFill/>
                      <a:miter lim="800000"/>
                      <a:headEnd/>
                      <a:tailEnd/>
                    </a:ln>
                  </pic:spPr>
                </pic:pic>
              </a:graphicData>
            </a:graphic>
          </wp:inline>
        </w:drawing>
      </w:r>
    </w:p>
    <w:p w14:paraId="195912DC" w14:textId="77777777" w:rsidR="004C0C48" w:rsidRDefault="00136B35">
      <w:r w:rsidRPr="00136B35">
        <w:rPr>
          <w:noProof/>
        </w:rPr>
        <w:lastRenderedPageBreak/>
        <w:drawing>
          <wp:inline distT="0" distB="0" distL="0" distR="0" wp14:anchorId="0A4AA28A" wp14:editId="6C4A4A4B">
            <wp:extent cx="5224145" cy="6511849"/>
            <wp:effectExtent l="25400" t="0" r="8255" b="0"/>
            <wp:docPr id="8" name="Picture 2" descr="::Desktop:Lament for the Departure of King James, Colin Mor Campbell, Vol 2 p.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Lament for the Departure of King James, Colin Mor Campbell, Vol 2 p.103.jpg"/>
                    <pic:cNvPicPr>
                      <a:picLocks noChangeAspect="1" noChangeArrowheads="1"/>
                    </pic:cNvPicPr>
                  </pic:nvPicPr>
                  <pic:blipFill>
                    <a:blip r:embed="rId5"/>
                    <a:srcRect b="20388"/>
                    <a:stretch>
                      <a:fillRect/>
                    </a:stretch>
                  </pic:blipFill>
                  <pic:spPr bwMode="auto">
                    <a:xfrm>
                      <a:off x="0" y="0"/>
                      <a:ext cx="5224145" cy="6511849"/>
                    </a:xfrm>
                    <a:prstGeom prst="rect">
                      <a:avLst/>
                    </a:prstGeom>
                    <a:noFill/>
                    <a:ln w="9525">
                      <a:noFill/>
                      <a:miter lim="800000"/>
                      <a:headEnd/>
                      <a:tailEnd/>
                    </a:ln>
                  </pic:spPr>
                </pic:pic>
              </a:graphicData>
            </a:graphic>
          </wp:inline>
        </w:drawing>
      </w:r>
    </w:p>
    <w:p w14:paraId="0935315B" w14:textId="77777777" w:rsidR="0068012F" w:rsidRDefault="0068012F"/>
    <w:p w14:paraId="58B322B5" w14:textId="77777777" w:rsidR="004C0C48" w:rsidRDefault="004C0C48">
      <w:r w:rsidRPr="00D95255">
        <w:t xml:space="preserve">There are two closely related settings adjacent to one another in </w:t>
      </w:r>
      <w:r>
        <w:rPr>
          <w:b/>
        </w:rPr>
        <w:t>Colin Campbell</w:t>
      </w:r>
      <w:r>
        <w:t>’s “Nether Lorn Canntaireachd”, both nameless.   These settings have many interesting features, including—in the second--an attractive dip down to D and B where other scores feature a similar descending contour but at a higher pitch.</w:t>
      </w:r>
    </w:p>
    <w:p w14:paraId="6B4771DD" w14:textId="77777777" w:rsidR="004C0C48" w:rsidRDefault="004C0C48" w:rsidP="004C0C48">
      <w:r>
        <w:t>No.44 proceeds roughly as follows:</w:t>
      </w:r>
    </w:p>
    <w:p w14:paraId="2EE80BA5" w14:textId="77777777" w:rsidR="004C0C48" w:rsidRDefault="00BA7949">
      <w:r>
        <w:rPr>
          <w:noProof/>
        </w:rPr>
        <w:lastRenderedPageBreak/>
        <w:drawing>
          <wp:inline distT="0" distB="0" distL="0" distR="0" wp14:anchorId="791107FE" wp14:editId="1D6C9915">
            <wp:extent cx="5486400" cy="5473700"/>
            <wp:effectExtent l="25400" t="0" r="0" b="0"/>
            <wp:docPr id="2" name="Picture 1" descr="Macintosh HD:Users:drwilliamdonaldson:Desktop:Lament for the Departure, Nether Lorn A tu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rwilliamdonaldson:Desktop:Lament for the Departure, Nether Lorn A tune.1.jpg"/>
                    <pic:cNvPicPr>
                      <a:picLocks noChangeAspect="1" noChangeArrowheads="1"/>
                    </pic:cNvPicPr>
                  </pic:nvPicPr>
                  <pic:blipFill>
                    <a:blip r:embed="rId6"/>
                    <a:srcRect/>
                    <a:stretch>
                      <a:fillRect/>
                    </a:stretch>
                  </pic:blipFill>
                  <pic:spPr bwMode="auto">
                    <a:xfrm>
                      <a:off x="0" y="0"/>
                      <a:ext cx="5486400" cy="5473700"/>
                    </a:xfrm>
                    <a:prstGeom prst="rect">
                      <a:avLst/>
                    </a:prstGeom>
                    <a:noFill/>
                    <a:ln w="9525">
                      <a:noFill/>
                      <a:miter lim="800000"/>
                      <a:headEnd/>
                      <a:tailEnd/>
                    </a:ln>
                  </pic:spPr>
                </pic:pic>
              </a:graphicData>
            </a:graphic>
          </wp:inline>
        </w:drawing>
      </w:r>
    </w:p>
    <w:p w14:paraId="17138333" w14:textId="77777777" w:rsidR="004C0C48" w:rsidRDefault="00C87F48">
      <w:r>
        <w:t xml:space="preserve">I have set the ffirst Motion above with a dotted quaver as the initial note to vary the beaten track a bit, but this could easily be “cut” the other way to produce </w:t>
      </w:r>
      <w:r w:rsidR="0068012F">
        <w:t xml:space="preserve">the more usual </w:t>
      </w:r>
      <w:r>
        <w:t xml:space="preserve">semi-quaver/dotted quaver pattern.  </w:t>
      </w:r>
    </w:p>
    <w:p w14:paraId="629CEF3A" w14:textId="77777777" w:rsidR="004C0C48" w:rsidRDefault="004C0C48" w:rsidP="004C0C48">
      <w:r>
        <w:t xml:space="preserve">No.45, clearly a variant, begins like this: </w:t>
      </w:r>
    </w:p>
    <w:p w14:paraId="39926AA6" w14:textId="77777777" w:rsidR="004C0C48" w:rsidRDefault="004C0C48" w:rsidP="004C0C48">
      <w:r>
        <w:rPr>
          <w:noProof/>
        </w:rPr>
        <w:drawing>
          <wp:inline distT="0" distB="0" distL="0" distR="0" wp14:anchorId="6A396D34" wp14:editId="381F5508">
            <wp:extent cx="5480050" cy="717550"/>
            <wp:effectExtent l="25400" t="0" r="6350" b="0"/>
            <wp:docPr id="13" name="Picture 3" descr="::Lament for the Departure, Nether Lorn varia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ment for the Departure, Nether Lorn variant 2.jpg"/>
                    <pic:cNvPicPr>
                      <a:picLocks noChangeAspect="1" noChangeArrowheads="1"/>
                    </pic:cNvPicPr>
                  </pic:nvPicPr>
                  <pic:blipFill>
                    <a:blip r:embed="rId7"/>
                    <a:srcRect/>
                    <a:stretch>
                      <a:fillRect/>
                    </a:stretch>
                  </pic:blipFill>
                  <pic:spPr bwMode="auto">
                    <a:xfrm>
                      <a:off x="0" y="0"/>
                      <a:ext cx="5480050" cy="717550"/>
                    </a:xfrm>
                    <a:prstGeom prst="rect">
                      <a:avLst/>
                    </a:prstGeom>
                    <a:noFill/>
                    <a:ln w="9525">
                      <a:noFill/>
                      <a:miter lim="800000"/>
                      <a:headEnd/>
                      <a:tailEnd/>
                    </a:ln>
                  </pic:spPr>
                </pic:pic>
              </a:graphicData>
            </a:graphic>
          </wp:inline>
        </w:drawing>
      </w:r>
    </w:p>
    <w:p w14:paraId="41122F55" w14:textId="77777777" w:rsidR="00082C92" w:rsidRPr="00082C92" w:rsidRDefault="00C87F48">
      <w:r>
        <w:t>The tune continues into</w:t>
      </w:r>
      <w:r w:rsidR="004C0C48">
        <w:t xml:space="preserve"> a first variation singling and doubling very much along the lines of </w:t>
      </w:r>
      <w:r>
        <w:t xml:space="preserve">the first </w:t>
      </w:r>
      <w:r w:rsidR="004C0C48">
        <w:t xml:space="preserve">version above, but there the </w:t>
      </w:r>
      <w:r>
        <w:t>it</w:t>
      </w:r>
      <w:r w:rsidR="004C0C48">
        <w:t xml:space="preserve"> ends.</w:t>
      </w:r>
    </w:p>
    <w:p w14:paraId="71AE9F3A" w14:textId="77777777" w:rsidR="004C0C48" w:rsidRDefault="004C0C48">
      <w:pPr>
        <w:rPr>
          <w:b/>
        </w:rPr>
      </w:pPr>
    </w:p>
    <w:p w14:paraId="531F5B9F" w14:textId="77777777" w:rsidR="00F22CB6" w:rsidRDefault="00F22CB6">
      <w:pPr>
        <w:rPr>
          <w:b/>
        </w:rPr>
      </w:pPr>
      <w:r>
        <w:rPr>
          <w:b/>
        </w:rPr>
        <w:lastRenderedPageBreak/>
        <w:t xml:space="preserve">Donald MacDonald </w:t>
      </w:r>
      <w:r>
        <w:t>sets the tune like this:</w:t>
      </w:r>
      <w:r>
        <w:rPr>
          <w:b/>
        </w:rPr>
        <w:t xml:space="preserve"> </w:t>
      </w:r>
    </w:p>
    <w:p w14:paraId="750ABDCC" w14:textId="77777777" w:rsidR="00F22CB6" w:rsidRDefault="00F22CB6">
      <w:pPr>
        <w:rPr>
          <w:b/>
        </w:rPr>
      </w:pPr>
      <w:r>
        <w:rPr>
          <w:b/>
          <w:noProof/>
        </w:rPr>
        <w:drawing>
          <wp:inline distT="0" distB="0" distL="0" distR="0" wp14:anchorId="250DF863" wp14:editId="23FEB7B2">
            <wp:extent cx="5486400" cy="7261305"/>
            <wp:effectExtent l="2540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5486400" cy="7261305"/>
                    </a:xfrm>
                    <a:prstGeom prst="rect">
                      <a:avLst/>
                    </a:prstGeom>
                    <a:noFill/>
                    <a:ln w="9525">
                      <a:noFill/>
                      <a:miter lim="800000"/>
                      <a:headEnd/>
                      <a:tailEnd/>
                    </a:ln>
                  </pic:spPr>
                </pic:pic>
              </a:graphicData>
            </a:graphic>
          </wp:inline>
        </w:drawing>
      </w:r>
    </w:p>
    <w:p w14:paraId="38202F8C" w14:textId="77777777" w:rsidR="00F22CB6" w:rsidRDefault="00F22CB6">
      <w:pPr>
        <w:rPr>
          <w:b/>
        </w:rPr>
      </w:pPr>
    </w:p>
    <w:p w14:paraId="45CCF230" w14:textId="77777777" w:rsidR="00F22CB6" w:rsidRDefault="00F22CB6">
      <w:pPr>
        <w:rPr>
          <w:b/>
        </w:rPr>
      </w:pPr>
    </w:p>
    <w:p w14:paraId="6273FD97" w14:textId="77777777" w:rsidR="00F22CB6" w:rsidRDefault="00F22CB6">
      <w:pPr>
        <w:rPr>
          <w:b/>
        </w:rPr>
      </w:pPr>
    </w:p>
    <w:p w14:paraId="16D4881D" w14:textId="77777777" w:rsidR="00F22CB6" w:rsidRDefault="00F22CB6">
      <w:pPr>
        <w:rPr>
          <w:b/>
        </w:rPr>
      </w:pPr>
    </w:p>
    <w:p w14:paraId="7276767B" w14:textId="77777777" w:rsidR="00F22CB6" w:rsidRDefault="00F22CB6">
      <w:pPr>
        <w:rPr>
          <w:b/>
        </w:rPr>
      </w:pPr>
      <w:r>
        <w:rPr>
          <w:b/>
          <w:noProof/>
        </w:rPr>
        <w:drawing>
          <wp:inline distT="0" distB="0" distL="0" distR="0" wp14:anchorId="7DD9F74F" wp14:editId="2DF19520">
            <wp:extent cx="5486400" cy="7369901"/>
            <wp:effectExtent l="2540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5486400" cy="7369901"/>
                    </a:xfrm>
                    <a:prstGeom prst="rect">
                      <a:avLst/>
                    </a:prstGeom>
                    <a:noFill/>
                    <a:ln w="9525">
                      <a:noFill/>
                      <a:miter lim="800000"/>
                      <a:headEnd/>
                      <a:tailEnd/>
                    </a:ln>
                  </pic:spPr>
                </pic:pic>
              </a:graphicData>
            </a:graphic>
          </wp:inline>
        </w:drawing>
      </w:r>
    </w:p>
    <w:p w14:paraId="45AC447E" w14:textId="77777777" w:rsidR="00F22CB6" w:rsidRDefault="00F22CB6">
      <w:pPr>
        <w:rPr>
          <w:b/>
        </w:rPr>
      </w:pPr>
    </w:p>
    <w:p w14:paraId="7CCC80B1" w14:textId="77777777" w:rsidR="00F22CB6" w:rsidRDefault="00F22CB6">
      <w:pPr>
        <w:rPr>
          <w:b/>
        </w:rPr>
      </w:pPr>
    </w:p>
    <w:p w14:paraId="4C720E38" w14:textId="77777777" w:rsidR="00F22CB6" w:rsidRDefault="00F22CB6">
      <w:pPr>
        <w:rPr>
          <w:b/>
        </w:rPr>
      </w:pPr>
      <w:r w:rsidRPr="00F22CB6">
        <w:rPr>
          <w:b/>
          <w:noProof/>
        </w:rPr>
        <w:drawing>
          <wp:inline distT="0" distB="0" distL="0" distR="0" wp14:anchorId="27F2B72E" wp14:editId="256A2F49">
            <wp:extent cx="5486400" cy="7477036"/>
            <wp:effectExtent l="2540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rcRect/>
                    <a:stretch>
                      <a:fillRect/>
                    </a:stretch>
                  </pic:blipFill>
                  <pic:spPr bwMode="auto">
                    <a:xfrm>
                      <a:off x="0" y="0"/>
                      <a:ext cx="5486400" cy="7477036"/>
                    </a:xfrm>
                    <a:prstGeom prst="rect">
                      <a:avLst/>
                    </a:prstGeom>
                    <a:noFill/>
                    <a:ln w="9525">
                      <a:noFill/>
                      <a:miter lim="800000"/>
                      <a:headEnd/>
                      <a:tailEnd/>
                    </a:ln>
                  </pic:spPr>
                </pic:pic>
              </a:graphicData>
            </a:graphic>
          </wp:inline>
        </w:drawing>
      </w:r>
    </w:p>
    <w:p w14:paraId="4E98675D" w14:textId="77777777" w:rsidR="00D35172" w:rsidRPr="00D35172" w:rsidRDefault="00D35172">
      <w:r>
        <w:rPr>
          <w:b/>
        </w:rPr>
        <w:lastRenderedPageBreak/>
        <w:t>MacDonald</w:t>
      </w:r>
      <w:r>
        <w:t xml:space="preserve">’s ground has four lines of eight bars each.  He does not have the first variation heavily ornamented by grips and throws that we see elsewhere, but proceeds directly to the taorluath singling. </w:t>
      </w:r>
      <w:r w:rsidR="00D07790">
        <w:t xml:space="preserve">His variations do not exactly follow his ground, however: they are consistently a couple of bars short in the final line, settling into what to a modern ear should be a regular sixteen bar pattern, but missing bars thirteen and fourteen throughout.  </w:t>
      </w:r>
      <w:r w:rsidR="008A5389">
        <w:t xml:space="preserve">He repeats the ground after the taorluath </w:t>
      </w:r>
      <w:r w:rsidR="00695BEF">
        <w:t>but not after the crunluath doubling</w:t>
      </w:r>
      <w:r w:rsidR="008A5389">
        <w:t xml:space="preserve">. </w:t>
      </w:r>
    </w:p>
    <w:p w14:paraId="47C23FA3" w14:textId="77777777" w:rsidR="005B6927" w:rsidRDefault="00F22CB6">
      <w:r>
        <w:rPr>
          <w:b/>
        </w:rPr>
        <w:t xml:space="preserve">Angus MacKay </w:t>
      </w:r>
      <w:r w:rsidR="005B6927" w:rsidRPr="005B6927">
        <w:t>sets the tune like this:</w:t>
      </w:r>
    </w:p>
    <w:p w14:paraId="02103CCA" w14:textId="77777777" w:rsidR="00993C71" w:rsidRDefault="00993C71">
      <w:pPr>
        <w:rPr>
          <w:b/>
        </w:rPr>
      </w:pPr>
      <w:r>
        <w:rPr>
          <w:b/>
          <w:noProof/>
        </w:rPr>
        <w:lastRenderedPageBreak/>
        <w:drawing>
          <wp:inline distT="0" distB="0" distL="0" distR="0" wp14:anchorId="75A4D99C" wp14:editId="503D2A8F">
            <wp:extent cx="5478145" cy="8204200"/>
            <wp:effectExtent l="25400" t="0" r="8255" b="0"/>
            <wp:docPr id="5" name="Picture 1" descr="::Desktop:Lament for the Departure of King James, Angus MacKay1, Volume 2, page 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Lament for the Departure of King James, Angus MacKay1, Volume 2, page 83.jpg"/>
                    <pic:cNvPicPr>
                      <a:picLocks noChangeAspect="1" noChangeArrowheads="1"/>
                    </pic:cNvPicPr>
                  </pic:nvPicPr>
                  <pic:blipFill>
                    <a:blip r:embed="rId11"/>
                    <a:srcRect/>
                    <a:stretch>
                      <a:fillRect/>
                    </a:stretch>
                  </pic:blipFill>
                  <pic:spPr bwMode="auto">
                    <a:xfrm>
                      <a:off x="0" y="0"/>
                      <a:ext cx="5478145" cy="8204200"/>
                    </a:xfrm>
                    <a:prstGeom prst="rect">
                      <a:avLst/>
                    </a:prstGeom>
                    <a:noFill/>
                    <a:ln w="9525">
                      <a:noFill/>
                      <a:miter lim="800000"/>
                      <a:headEnd/>
                      <a:tailEnd/>
                    </a:ln>
                  </pic:spPr>
                </pic:pic>
              </a:graphicData>
            </a:graphic>
          </wp:inline>
        </w:drawing>
      </w:r>
    </w:p>
    <w:p w14:paraId="43F8CC6D" w14:textId="77777777" w:rsidR="00FE1763" w:rsidRDefault="00993C71">
      <w:pPr>
        <w:rPr>
          <w:b/>
        </w:rPr>
      </w:pPr>
      <w:r>
        <w:rPr>
          <w:b/>
          <w:noProof/>
        </w:rPr>
        <w:lastRenderedPageBreak/>
        <w:drawing>
          <wp:inline distT="0" distB="0" distL="0" distR="0" wp14:anchorId="55969793" wp14:editId="0D41C443">
            <wp:extent cx="5486400" cy="8094345"/>
            <wp:effectExtent l="25400" t="0" r="0" b="0"/>
            <wp:docPr id="7" name="Picture 2" descr="::Desktop:Lament for the Departure of King James, Angus MacKay2,Volume 2, page 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Lament for the Departure of King James, Angus MacKay2,Volume 2, page 84.jpg"/>
                    <pic:cNvPicPr>
                      <a:picLocks noChangeAspect="1" noChangeArrowheads="1"/>
                    </pic:cNvPicPr>
                  </pic:nvPicPr>
                  <pic:blipFill>
                    <a:blip r:embed="rId12"/>
                    <a:srcRect/>
                    <a:stretch>
                      <a:fillRect/>
                    </a:stretch>
                  </pic:blipFill>
                  <pic:spPr bwMode="auto">
                    <a:xfrm>
                      <a:off x="0" y="0"/>
                      <a:ext cx="5486400" cy="8094345"/>
                    </a:xfrm>
                    <a:prstGeom prst="rect">
                      <a:avLst/>
                    </a:prstGeom>
                    <a:noFill/>
                    <a:ln w="9525">
                      <a:noFill/>
                      <a:miter lim="800000"/>
                      <a:headEnd/>
                      <a:tailEnd/>
                    </a:ln>
                  </pic:spPr>
                </pic:pic>
              </a:graphicData>
            </a:graphic>
          </wp:inline>
        </w:drawing>
      </w:r>
    </w:p>
    <w:p w14:paraId="3AC75089" w14:textId="3B22BBB1" w:rsidR="00A04FC5" w:rsidRDefault="00B34A91">
      <w:r>
        <w:rPr>
          <w:b/>
        </w:rPr>
        <w:lastRenderedPageBreak/>
        <w:t>MacKay</w:t>
      </w:r>
      <w:r>
        <w:t xml:space="preserve">’s development of the tune is fuller than Donald MacDonald’s, showing the </w:t>
      </w:r>
      <w:r w:rsidR="00C87F48">
        <w:t>piece</w:t>
      </w:r>
      <w:r>
        <w:t xml:space="preserve"> </w:t>
      </w:r>
      <w:r w:rsidR="00B50D09">
        <w:t xml:space="preserve">very much </w:t>
      </w:r>
      <w:r>
        <w:t xml:space="preserve">in </w:t>
      </w:r>
      <w:r w:rsidR="00B50D09">
        <w:t xml:space="preserve">its </w:t>
      </w:r>
      <w:r>
        <w:t>modern form, including the highly characteristic first variation with its dramatic succession of grips and throws</w:t>
      </w:r>
      <w:r w:rsidR="00AC6C44">
        <w:t>, and the inclusion (</w:t>
      </w:r>
      <w:r w:rsidR="002E766D">
        <w:t xml:space="preserve">as </w:t>
      </w:r>
      <w:r w:rsidR="00AC6C44">
        <w:t>frequent</w:t>
      </w:r>
      <w:r w:rsidR="002E766D">
        <w:t xml:space="preserve">ly happens in </w:t>
      </w:r>
      <w:r w:rsidR="00AC6C44">
        <w:t>MacKay setting</w:t>
      </w:r>
      <w:r w:rsidR="002E766D">
        <w:t>s</w:t>
      </w:r>
      <w:r w:rsidR="00AC6C44">
        <w:t>) of a taorluath fosgailte singling and doubling.</w:t>
      </w:r>
      <w:r>
        <w:t xml:space="preserve">  MacKay frames the tune in the now customary four even lines of four bars each, and he indicates that the ground should be repeated after the taorluath and crunluath doublings.  </w:t>
      </w:r>
      <w:r w:rsidR="00E72A5C">
        <w:t xml:space="preserve">The third variation is oddly set, with </w:t>
      </w:r>
      <w:r w:rsidR="00ED7468">
        <w:t xml:space="preserve">what at first sight seem like </w:t>
      </w:r>
      <w:r w:rsidR="00E72A5C">
        <w:t xml:space="preserve">throw symbols puzzlingly placed, </w:t>
      </w:r>
      <w:r w:rsidR="00ED7468">
        <w:t xml:space="preserve">but they must be </w:t>
      </w:r>
      <w:r w:rsidR="00E72A5C">
        <w:t xml:space="preserve">intended, in this context, to represent GED cadences otherwise not indicated although the </w:t>
      </w:r>
      <w:r w:rsidR="007F437B">
        <w:t>corresponding</w:t>
      </w:r>
      <w:r w:rsidR="00E72A5C">
        <w:t xml:space="preserve"> sections of the tune would seem to require their presence.  </w:t>
      </w:r>
    </w:p>
    <w:p w14:paraId="0B696792" w14:textId="77777777" w:rsidR="005A125B" w:rsidRPr="005A125B" w:rsidRDefault="005A125B" w:rsidP="004441FE">
      <w:r w:rsidRPr="005A125B">
        <w:rPr>
          <w:b/>
        </w:rPr>
        <w:t>Colin Cameron</w:t>
      </w:r>
      <w:r>
        <w:t xml:space="preserve">’s manuscript bears a cross reference to Angus MacKay’s, but his title is different: “Suibhel Shiumais   James Departure.  A Lament for the departure of King James the Sixth from Scotland </w:t>
      </w:r>
      <w:r w:rsidR="006C13CF">
        <w:t>1</w:t>
      </w:r>
      <w:r>
        <w:t>688”</w:t>
      </w:r>
      <w:r w:rsidR="006C13CF">
        <w:t>—(an obviou</w:t>
      </w:r>
      <w:r w:rsidR="00AC6C44">
        <w:t>s slip; this should be James VII</w:t>
      </w:r>
      <w:r w:rsidR="006C13CF">
        <w:t xml:space="preserve">)  </w:t>
      </w:r>
      <w:r w:rsidR="008C7BFE">
        <w:t>Other than confirming that the throw signs in the singling of the second variation are indeed cadence notes, Colin Cameron’s setting adds little to MacKay’s and is not reproduced here</w:t>
      </w:r>
      <w:r>
        <w:t>.</w:t>
      </w:r>
    </w:p>
    <w:p w14:paraId="65B710AC" w14:textId="77777777" w:rsidR="005A125B" w:rsidRDefault="00CB1875" w:rsidP="004441FE">
      <w:r>
        <w:rPr>
          <w:b/>
        </w:rPr>
        <w:t>Uilleam Ross</w:t>
      </w:r>
      <w:r>
        <w:t xml:space="preserve">’s MS ends with the taorluath doubling and a direction to repeat the ground, noting </w:t>
      </w:r>
      <w:r w:rsidR="005B17CE">
        <w:t>“Crunluadh to follow: This Piobaireachd is in McDonalds Book, but not such a good set as this.”</w:t>
      </w:r>
      <w:r>
        <w:t xml:space="preserve">  The setting is that of Angus MacKay, and since Ross adds little of significance to MacKay his score is not reproduced here.  </w:t>
      </w:r>
    </w:p>
    <w:p w14:paraId="3B077F03" w14:textId="77777777" w:rsidR="004441FE" w:rsidRDefault="005A125B" w:rsidP="004441FE">
      <w:r>
        <w:rPr>
          <w:b/>
        </w:rPr>
        <w:t xml:space="preserve">John MacDougall Gillies </w:t>
      </w:r>
      <w:r w:rsidR="00DD383D">
        <w:t>adds nothing to Colin Came</w:t>
      </w:r>
      <w:r w:rsidR="00AC6C44">
        <w:t>ron, his probable source, and</w:t>
      </w:r>
      <w:r w:rsidR="00DD383D">
        <w:t xml:space="preserve"> his score is not reproduced here.  </w:t>
      </w:r>
    </w:p>
    <w:p w14:paraId="29A0587A" w14:textId="77777777" w:rsidR="0060135F" w:rsidRDefault="00450C4B" w:rsidP="004441FE">
      <w:r>
        <w:rPr>
          <w:b/>
        </w:rPr>
        <w:t>David Glen</w:t>
      </w:r>
      <w:r>
        <w:t xml:space="preserve"> </w:t>
      </w:r>
      <w:r w:rsidR="0060135F">
        <w:t xml:space="preserve">sets the tune like this: </w:t>
      </w:r>
    </w:p>
    <w:p w14:paraId="076F179E" w14:textId="77777777" w:rsidR="0060135F" w:rsidRDefault="0060135F" w:rsidP="004441FE"/>
    <w:p w14:paraId="4BE9ACF7" w14:textId="77777777" w:rsidR="004441FE" w:rsidRPr="004441FE" w:rsidRDefault="00450C4B" w:rsidP="004441FE">
      <w:pPr>
        <w:rPr>
          <w:b/>
        </w:rPr>
      </w:pPr>
      <w:r>
        <w:rPr>
          <w:b/>
          <w:noProof/>
        </w:rPr>
        <w:lastRenderedPageBreak/>
        <w:drawing>
          <wp:inline distT="0" distB="0" distL="0" distR="0" wp14:anchorId="2F12FA5C" wp14:editId="061B61DC">
            <wp:extent cx="5486400" cy="4699000"/>
            <wp:effectExtent l="25400" t="0" r="0" b="0"/>
            <wp:docPr id="14" name="Picture 4" descr="::Lament for the Departure ofKing James, David Gl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ament for the Departure ofKing James, David Glen1,.jpg"/>
                    <pic:cNvPicPr>
                      <a:picLocks noChangeAspect="1" noChangeArrowheads="1"/>
                    </pic:cNvPicPr>
                  </pic:nvPicPr>
                  <pic:blipFill>
                    <a:blip r:embed="rId13"/>
                    <a:srcRect/>
                    <a:stretch>
                      <a:fillRect/>
                    </a:stretch>
                  </pic:blipFill>
                  <pic:spPr bwMode="auto">
                    <a:xfrm>
                      <a:off x="0" y="0"/>
                      <a:ext cx="5486400" cy="4699000"/>
                    </a:xfrm>
                    <a:prstGeom prst="rect">
                      <a:avLst/>
                    </a:prstGeom>
                    <a:noFill/>
                    <a:ln w="9525">
                      <a:noFill/>
                      <a:miter lim="800000"/>
                      <a:headEnd/>
                      <a:tailEnd/>
                    </a:ln>
                  </pic:spPr>
                </pic:pic>
              </a:graphicData>
            </a:graphic>
          </wp:inline>
        </w:drawing>
      </w:r>
    </w:p>
    <w:p w14:paraId="5E9D4BC8" w14:textId="77777777" w:rsidR="00450C4B" w:rsidRDefault="00450C4B" w:rsidP="004441FE">
      <w:pPr>
        <w:rPr>
          <w:b/>
        </w:rPr>
      </w:pPr>
      <w:r>
        <w:rPr>
          <w:b/>
          <w:noProof/>
        </w:rPr>
        <w:lastRenderedPageBreak/>
        <w:drawing>
          <wp:inline distT="0" distB="0" distL="0" distR="0" wp14:anchorId="6385DE81" wp14:editId="21B5F3CD">
            <wp:extent cx="5486400" cy="5300345"/>
            <wp:effectExtent l="25400" t="0" r="0" b="0"/>
            <wp:docPr id="15" name="Picture 5" descr="::Lament for the Departure ofKing James, David Gle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ment for the Departure ofKing James, David Glen2,.jpg"/>
                    <pic:cNvPicPr>
                      <a:picLocks noChangeAspect="1" noChangeArrowheads="1"/>
                    </pic:cNvPicPr>
                  </pic:nvPicPr>
                  <pic:blipFill>
                    <a:blip r:embed="rId14"/>
                    <a:srcRect/>
                    <a:stretch>
                      <a:fillRect/>
                    </a:stretch>
                  </pic:blipFill>
                  <pic:spPr bwMode="auto">
                    <a:xfrm>
                      <a:off x="0" y="0"/>
                      <a:ext cx="5486400" cy="5300345"/>
                    </a:xfrm>
                    <a:prstGeom prst="rect">
                      <a:avLst/>
                    </a:prstGeom>
                    <a:noFill/>
                    <a:ln w="9525">
                      <a:noFill/>
                      <a:miter lim="800000"/>
                      <a:headEnd/>
                      <a:tailEnd/>
                    </a:ln>
                  </pic:spPr>
                </pic:pic>
              </a:graphicData>
            </a:graphic>
          </wp:inline>
        </w:drawing>
      </w:r>
    </w:p>
    <w:p w14:paraId="53711F82" w14:textId="77777777" w:rsidR="0060135F" w:rsidRDefault="0060135F" w:rsidP="0060135F">
      <w:pPr>
        <w:rPr>
          <w:b/>
        </w:rPr>
      </w:pPr>
    </w:p>
    <w:p w14:paraId="35D28EA0" w14:textId="77777777" w:rsidR="0060135F" w:rsidRDefault="0060135F" w:rsidP="0060135F">
      <w:r>
        <w:rPr>
          <w:b/>
        </w:rPr>
        <w:t xml:space="preserve">Glen </w:t>
      </w:r>
      <w:r>
        <w:t>follows Donald MacDonald</w:t>
      </w:r>
      <w:r w:rsidR="00AC6C44">
        <w:t xml:space="preserve"> here</w:t>
      </w:r>
      <w:r>
        <w:t>, although with numerous little individual touches.  We note particularly his suggested alternative timings for the cadence at the end of bar two of the ground, for example.  Glen also makes up MacDonald’s final line in the variations supplying the missing two bars throughout.  If one wanted to play the short version of “Lament for the Departure of King James”, this unpublished setting by David Glen would have much to offer:</w:t>
      </w:r>
    </w:p>
    <w:p w14:paraId="69B66624" w14:textId="77777777" w:rsidR="008564EB" w:rsidRDefault="00CF3FB0" w:rsidP="004441FE">
      <w:r w:rsidRPr="00CF3FB0">
        <w:rPr>
          <w:b/>
        </w:rPr>
        <w:t>Donald MacPhee</w:t>
      </w:r>
      <w:r>
        <w:rPr>
          <w:b/>
        </w:rPr>
        <w:t xml:space="preserve"> </w:t>
      </w:r>
      <w:r w:rsidR="00AC6C44" w:rsidRPr="00AC6C44">
        <w:t xml:space="preserve">likewise </w:t>
      </w:r>
      <w:r>
        <w:t>follows Donald MacDonald in this tune.  Rather interestingly in</w:t>
      </w:r>
      <w:r w:rsidR="00AC6C44">
        <w:t xml:space="preserve"> </w:t>
      </w:r>
      <w:r>
        <w:t xml:space="preserve">view of MacPhee’s general practice as an editor, he leaves MacDonald’s truncated </w:t>
      </w:r>
      <w:r w:rsidR="00123E85">
        <w:t>fourth line</w:t>
      </w:r>
      <w:r>
        <w:t xml:space="preserve"> in the variations un-amended.  Since he adds little to MacDonald from an interpretational point of view, his score is not reproduced here.  </w:t>
      </w:r>
    </w:p>
    <w:p w14:paraId="15796100" w14:textId="77777777" w:rsidR="00450C4B" w:rsidRPr="00CF3FB0" w:rsidRDefault="00450C4B" w:rsidP="004441FE"/>
    <w:p w14:paraId="2BE74B16" w14:textId="613A01EF" w:rsidR="000F5E0F" w:rsidRPr="00A9716B" w:rsidRDefault="00AC6C44" w:rsidP="004441FE">
      <w:r w:rsidRPr="00AC6C44">
        <w:rPr>
          <w:b/>
        </w:rPr>
        <w:lastRenderedPageBreak/>
        <w:t xml:space="preserve">Lt. </w:t>
      </w:r>
      <w:r w:rsidR="00F35A0A">
        <w:rPr>
          <w:b/>
        </w:rPr>
        <w:t>John</w:t>
      </w:r>
      <w:r w:rsidRPr="00AC6C44">
        <w:rPr>
          <w:b/>
        </w:rPr>
        <w:t xml:space="preserve"> McLennan</w:t>
      </w:r>
      <w:r>
        <w:t>’s MS</w:t>
      </w:r>
      <w:r w:rsidR="00AC43D8">
        <w:t>:</w:t>
      </w:r>
      <w:r>
        <w:t xml:space="preserve"> has a set of notes indicating differences between MacKay’s setting of the tune and the published settings of MacDonald and MacPhee.  </w:t>
      </w:r>
      <w:r w:rsidR="00AC43D8">
        <w:t xml:space="preserve">The title given here is </w:t>
      </w:r>
      <w:r w:rsidR="00AC43D8">
        <w:rPr>
          <w:rFonts w:ascii="匀礀洀戀漀氀" w:hAnsi="匀礀洀戀漀氀"/>
        </w:rPr>
        <w:t>“King James’s Flight” and there is a headnote reading: “Variations neither in McDonalds or McPhees books”; plus</w:t>
      </w:r>
      <w:r w:rsidR="000F5E0F">
        <w:rPr>
          <w:rFonts w:ascii="匀礀洀戀漀氀" w:hAnsi="匀礀洀戀漀氀"/>
        </w:rPr>
        <w:t xml:space="preserve"> an endnote “</w:t>
      </w:r>
      <w:r w:rsidR="00AC43D8">
        <w:rPr>
          <w:rFonts w:ascii="匀礀洀戀漀氀" w:hAnsi="匀礀洀戀漀氀"/>
        </w:rPr>
        <w:t>Turluath fosgailte &amp;c + Doubling—then the same as McPhee”.</w:t>
      </w:r>
      <w:r w:rsidR="00F4331D" w:rsidRPr="00F4331D">
        <w:rPr>
          <w:rFonts w:ascii="匀礀洀戀漀氀" w:hAnsi="匀礀洀戀漀氀"/>
        </w:rPr>
        <w:t xml:space="preserve"> </w:t>
      </w:r>
      <w:r w:rsidR="00F4331D">
        <w:rPr>
          <w:rFonts w:ascii="匀礀洀戀漀氀" w:hAnsi="匀礀洀戀漀氀"/>
        </w:rPr>
        <w:t xml:space="preserve">  This is not reproduced here.</w:t>
      </w:r>
    </w:p>
    <w:p w14:paraId="63384A9B" w14:textId="77777777" w:rsidR="002E766D" w:rsidRPr="00882F16" w:rsidRDefault="00884FE4">
      <w:r>
        <w:rPr>
          <w:b/>
        </w:rPr>
        <w:t>C. S. Thomason</w:t>
      </w:r>
      <w:r w:rsidR="000F5E0F">
        <w:t>’s setting follows Donald MacDonald, but with the missing bars supplied in MacDonald’s fourth line in the variations.  Since it adds little to the interpretati</w:t>
      </w:r>
      <w:r w:rsidR="00956B92">
        <w:t>o</w:t>
      </w:r>
      <w:r w:rsidR="000F5E0F">
        <w:t xml:space="preserve">nal possibilities of the tune, Thomason’s score is not reproduced here.  </w:t>
      </w:r>
    </w:p>
    <w:p w14:paraId="1EC7C5E1" w14:textId="77777777" w:rsidR="00A9716B" w:rsidRDefault="00A9716B" w:rsidP="00956B92">
      <w:pPr>
        <w:rPr>
          <w:i/>
          <w:sz w:val="28"/>
        </w:rPr>
      </w:pPr>
    </w:p>
    <w:p w14:paraId="0192FE52" w14:textId="09691142" w:rsidR="00CD6BFF" w:rsidRPr="00FF6354" w:rsidRDefault="002E766D" w:rsidP="00956B92">
      <w:pPr>
        <w:rPr>
          <w:i/>
          <w:sz w:val="28"/>
        </w:rPr>
      </w:pPr>
      <w:r w:rsidRPr="002E766D">
        <w:rPr>
          <w:i/>
          <w:sz w:val="28"/>
        </w:rPr>
        <w:t>Commentary:</w:t>
      </w:r>
    </w:p>
    <w:p w14:paraId="7F333360" w14:textId="6BAB2216" w:rsidR="00ED7957" w:rsidRDefault="00CD6BFF" w:rsidP="00956B92">
      <w:r>
        <w:t>The ground is remarkable: a brilliant exploitation of the tonal possibilities of the chanter using a single movement.  The tune is noticeable, too, for its reticence: s</w:t>
      </w:r>
      <w:r w:rsidR="00956B92">
        <w:t xml:space="preserve">ometimes in ceol mor what does not happen is as revealing as what does.  A conventional siubhal movement singling and doubling would be perfectly possible in the first variation position, but none of the historic sources elects to play it, perhaps because the existing option with its succession of grips and throws is so much </w:t>
      </w:r>
      <w:r w:rsidR="00E56B00">
        <w:t>bolder</w:t>
      </w:r>
      <w:r w:rsidR="00ED7957">
        <w:t xml:space="preserve"> and </w:t>
      </w:r>
      <w:r w:rsidR="00FF6354">
        <w:t>emphatic</w:t>
      </w:r>
      <w:r w:rsidR="00956B92">
        <w:t xml:space="preserve">.  </w:t>
      </w:r>
      <w:r w:rsidR="00ED7957">
        <w:t xml:space="preserve">In tonal terms what we see here is a </w:t>
      </w:r>
      <w:r w:rsidR="00956B92">
        <w:t>basically rising phrase  B</w:t>
      </w:r>
      <w:r w:rsidR="00ED7957">
        <w:t>-</w:t>
      </w:r>
      <w:r w:rsidR="00956B92">
        <w:t>D</w:t>
      </w:r>
      <w:r w:rsidR="00ED7957">
        <w:t>-</w:t>
      </w:r>
      <w:r w:rsidR="00956B92">
        <w:t>E</w:t>
      </w:r>
      <w:r w:rsidR="00ED7957">
        <w:t>-</w:t>
      </w:r>
      <w:r w:rsidR="00956B92">
        <w:t>B answ</w:t>
      </w:r>
      <w:r w:rsidR="00ED7957">
        <w:t xml:space="preserve">ered by three falling ones high </w:t>
      </w:r>
      <w:r w:rsidR="00956B92">
        <w:t>G</w:t>
      </w:r>
      <w:r w:rsidR="00ED7957">
        <w:t>-</w:t>
      </w:r>
      <w:r w:rsidR="00956B92">
        <w:t>F</w:t>
      </w:r>
      <w:r w:rsidR="00ED7957">
        <w:t>-</w:t>
      </w:r>
      <w:r w:rsidR="00956B92">
        <w:t>E, F</w:t>
      </w:r>
      <w:r w:rsidR="00ED7957">
        <w:t>-</w:t>
      </w:r>
      <w:r w:rsidR="00956B92">
        <w:t>E</w:t>
      </w:r>
      <w:r w:rsidR="00ED7957">
        <w:t>-</w:t>
      </w:r>
      <w:r w:rsidR="00956B92">
        <w:t xml:space="preserve">D, and the final phrase which hesitates on E before </w:t>
      </w:r>
      <w:r w:rsidR="00ED7957">
        <w:t xml:space="preserve">falling back again to the tonic with </w:t>
      </w:r>
      <w:r w:rsidR="00525791">
        <w:t>strikingly</w:t>
      </w:r>
      <w:r w:rsidR="00FF6354">
        <w:t xml:space="preserve"> </w:t>
      </w:r>
      <w:r w:rsidR="00956B92">
        <w:t xml:space="preserve">melancholy effect.  </w:t>
      </w:r>
    </w:p>
    <w:p w14:paraId="6A46F4CA" w14:textId="77777777" w:rsidR="00956B92" w:rsidRPr="00B34A91" w:rsidRDefault="00ED7957" w:rsidP="00956B92">
      <w:r>
        <w:t>T</w:t>
      </w:r>
      <w:r w:rsidR="00956B92">
        <w:t>he tune is based on a single pentatonic scale, B</w:t>
      </w:r>
      <w:r>
        <w:t>-</w:t>
      </w:r>
      <w:r w:rsidR="00956B92">
        <w:t>D</w:t>
      </w:r>
      <w:r>
        <w:t>-</w:t>
      </w:r>
      <w:r w:rsidR="00956B92">
        <w:t>E</w:t>
      </w:r>
      <w:r>
        <w:t>-</w:t>
      </w:r>
      <w:r w:rsidR="00956B92">
        <w:t>F</w:t>
      </w:r>
      <w:r>
        <w:t>-</w:t>
      </w:r>
      <w:r w:rsidR="00956B92">
        <w:t xml:space="preserve">high G, </w:t>
      </w:r>
      <w:r w:rsidR="00FF6354">
        <w:t>and there is</w:t>
      </w:r>
      <w:r w:rsidR="00956B92">
        <w:t xml:space="preserve"> no dialogue with a contrasting adjacent scale as so often happens in piobaireachd, </w:t>
      </w:r>
      <w:r w:rsidR="00FF6354">
        <w:t xml:space="preserve">which similarly contributes </w:t>
      </w:r>
      <w:r w:rsidR="00956B92">
        <w:t xml:space="preserve">to the </w:t>
      </w:r>
      <w:r w:rsidR="00FF6354">
        <w:t xml:space="preserve">powerful </w:t>
      </w:r>
      <w:r>
        <w:t xml:space="preserve">sense of </w:t>
      </w:r>
      <w:r w:rsidR="00956B92">
        <w:t>concentrat</w:t>
      </w:r>
      <w:r>
        <w:t>ion</w:t>
      </w:r>
      <w:r w:rsidR="00956B92">
        <w:t xml:space="preserve">.  </w:t>
      </w:r>
    </w:p>
    <w:p w14:paraId="3F29EBFC" w14:textId="77777777" w:rsidR="008716A7" w:rsidRDefault="002E766D">
      <w:r>
        <w:t xml:space="preserve">This lovely tune </w:t>
      </w:r>
      <w:r w:rsidR="00956B92">
        <w:t>well</w:t>
      </w:r>
      <w:r>
        <w:t xml:space="preserve"> illustrates Joseph MacDonald’s remarks about the characteristic tonality of laments, namely, that they nearly always avoid the third interval of the scale, </w:t>
      </w:r>
      <w:r w:rsidR="00956B92">
        <w:t xml:space="preserve">how effectively they can do so is particularly </w:t>
      </w:r>
      <w:r w:rsidR="00FF6354">
        <w:t>apparent</w:t>
      </w:r>
      <w:r w:rsidR="00956B92">
        <w:t xml:space="preserve"> here</w:t>
      </w:r>
      <w:r w:rsidR="00FF6354">
        <w:t>.</w:t>
      </w:r>
      <w:r w:rsidR="00C90657">
        <w:t xml:space="preserve"> </w:t>
      </w:r>
    </w:p>
    <w:p w14:paraId="464EED07" w14:textId="77777777" w:rsidR="00C34445" w:rsidRDefault="00C34445"/>
    <w:p w14:paraId="5CE7EE26" w14:textId="77777777" w:rsidR="00F11DFA" w:rsidRDefault="00C87F48" w:rsidP="00F11DFA">
      <w:r>
        <w:t xml:space="preserve">As the note in Donald MacDonald indicates “The Lament for the Departure of King James” </w:t>
      </w:r>
      <w:r w:rsidR="00F11DFA">
        <w:t>probably dates from the time of the so-called “Glorious Revolution” in 1688-9,  and the Great Power rivalry of the period, in which king James VII was forced to abandon the throne and flee to France.  Alternatively</w:t>
      </w:r>
      <w:r w:rsidR="00FF7863">
        <w:t>,</w:t>
      </w:r>
      <w:r w:rsidR="00F11DFA">
        <w:t xml:space="preserve"> the king James in question may be the latter’s son</w:t>
      </w:r>
      <w:r>
        <w:t>, “The Old Chevalier”</w:t>
      </w:r>
      <w:r w:rsidR="00F11DFA">
        <w:t xml:space="preserve">--known </w:t>
      </w:r>
      <w:r>
        <w:t>to</w:t>
      </w:r>
      <w:r w:rsidR="00F11DFA">
        <w:t xml:space="preserve"> the Jacobite faithful as James VIII--and spring from the latter’s brief presence in Scotland during the Rising of 1715. </w:t>
      </w:r>
    </w:p>
    <w:p w14:paraId="48A80205" w14:textId="77777777" w:rsidR="00882F16" w:rsidRDefault="0068012F" w:rsidP="00882F16">
      <w:r>
        <w:tab/>
      </w:r>
      <w:r>
        <w:tab/>
      </w:r>
      <w:r>
        <w:tab/>
      </w:r>
      <w:r>
        <w:tab/>
        <w:t>*</w:t>
      </w:r>
      <w:r>
        <w:tab/>
        <w:t>*</w:t>
      </w:r>
      <w:r>
        <w:tab/>
        <w:t>*</w:t>
      </w:r>
    </w:p>
    <w:p w14:paraId="706247F7" w14:textId="77777777" w:rsidR="0068012F" w:rsidRDefault="0068012F" w:rsidP="00882F16">
      <w:pPr>
        <w:rPr>
          <w:sz w:val="20"/>
        </w:rPr>
      </w:pPr>
    </w:p>
    <w:p w14:paraId="056FB9E2" w14:textId="77777777" w:rsidR="00882F16" w:rsidRPr="00E22F3B" w:rsidRDefault="00882F16" w:rsidP="00882F16">
      <w:pPr>
        <w:rPr>
          <w:sz w:val="20"/>
        </w:rPr>
      </w:pPr>
      <w:r w:rsidRPr="00E22F3B">
        <w:rPr>
          <w:sz w:val="20"/>
        </w:rPr>
        <w:t xml:space="preserve">Electronic text © Dr William Donaldson, </w:t>
      </w:r>
      <w:r>
        <w:rPr>
          <w:sz w:val="20"/>
        </w:rPr>
        <w:t>Aberdeen, Scotland, 27</w:t>
      </w:r>
      <w:r w:rsidRPr="00882F16">
        <w:rPr>
          <w:sz w:val="20"/>
          <w:vertAlign w:val="superscript"/>
        </w:rPr>
        <w:t>th</w:t>
      </w:r>
      <w:r>
        <w:rPr>
          <w:sz w:val="20"/>
        </w:rPr>
        <w:t xml:space="preserve"> June</w:t>
      </w:r>
      <w:r w:rsidRPr="00E22F3B">
        <w:rPr>
          <w:sz w:val="20"/>
        </w:rPr>
        <w:t xml:space="preserve"> 2014</w:t>
      </w:r>
    </w:p>
    <w:p w14:paraId="2A3ABCFD" w14:textId="77777777" w:rsidR="00000000" w:rsidRPr="009E7722" w:rsidRDefault="00000000" w:rsidP="00882F16"/>
    <w:sectPr w:rsidR="00AD0D55" w:rsidRPr="009E7722" w:rsidSect="007357AF">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匀礀洀戀漀氀">
    <w:altName w:val="Times New Roman"/>
    <w:panose1 w:val="020B0604020202020204"/>
    <w:charset w:val="4D"/>
    <w:family w:val="roman"/>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5"/>
  <w:embedSystemFonts/>
  <w:proofState w:grammar="clean"/>
  <w:doNotTrackMoves/>
  <w:defaultTabStop w:val="720"/>
  <w:drawingGridHorizontalSpacing w:val="360"/>
  <w:drawingGridVerticalSpacing w:val="360"/>
  <w:displayHorizontalDrawingGridEvery w:val="0"/>
  <w:displayVerticalDrawingGridEvery w:val="0"/>
  <w:characterSpacingControl w:val="doNotCompress"/>
  <w:compat>
    <w:doNotAutofitConstrainedTables/>
    <w:splitPgBreakAndParaMark/>
    <w:doNotVertAlignCellWithSp/>
    <w:doNotBreakConstrainedForcedTable/>
    <w:useAnsiKerningPairs/>
    <w:cachedColBalance/>
    <w:compatSetting w:name="compatibilityMode" w:uri="http://schemas.microsoft.com/office/word" w:val="12"/>
    <w:compatSetting w:name="useWord2013TrackBottomHyphenation" w:uri="http://schemas.microsoft.com/office/word" w:val="1"/>
  </w:compat>
  <w:rsids>
    <w:rsidRoot w:val="009E7722"/>
    <w:rsid w:val="0001392A"/>
    <w:rsid w:val="000517DF"/>
    <w:rsid w:val="00076FE8"/>
    <w:rsid w:val="00082C92"/>
    <w:rsid w:val="000F5E0F"/>
    <w:rsid w:val="00123E85"/>
    <w:rsid w:val="00131630"/>
    <w:rsid w:val="00136B35"/>
    <w:rsid w:val="00140857"/>
    <w:rsid w:val="00216D7E"/>
    <w:rsid w:val="002B729D"/>
    <w:rsid w:val="002E1BA9"/>
    <w:rsid w:val="002E7228"/>
    <w:rsid w:val="002E766D"/>
    <w:rsid w:val="00384441"/>
    <w:rsid w:val="00441F7F"/>
    <w:rsid w:val="004441FE"/>
    <w:rsid w:val="00450C4B"/>
    <w:rsid w:val="004756FC"/>
    <w:rsid w:val="004C0C48"/>
    <w:rsid w:val="00525791"/>
    <w:rsid w:val="00553D49"/>
    <w:rsid w:val="00595B45"/>
    <w:rsid w:val="005A125B"/>
    <w:rsid w:val="005A6832"/>
    <w:rsid w:val="005B17CE"/>
    <w:rsid w:val="005B43A3"/>
    <w:rsid w:val="005B6927"/>
    <w:rsid w:val="0060135F"/>
    <w:rsid w:val="00617CFF"/>
    <w:rsid w:val="00626675"/>
    <w:rsid w:val="00677E75"/>
    <w:rsid w:val="0068012F"/>
    <w:rsid w:val="00695BEF"/>
    <w:rsid w:val="00697976"/>
    <w:rsid w:val="006C13CF"/>
    <w:rsid w:val="007A5B8B"/>
    <w:rsid w:val="007B1F74"/>
    <w:rsid w:val="007D0FCA"/>
    <w:rsid w:val="007D23EC"/>
    <w:rsid w:val="007F437B"/>
    <w:rsid w:val="008564EB"/>
    <w:rsid w:val="008716A7"/>
    <w:rsid w:val="00882F16"/>
    <w:rsid w:val="00884FE4"/>
    <w:rsid w:val="008A5389"/>
    <w:rsid w:val="008C7BFE"/>
    <w:rsid w:val="008E1576"/>
    <w:rsid w:val="00956B92"/>
    <w:rsid w:val="00993C71"/>
    <w:rsid w:val="009B63A1"/>
    <w:rsid w:val="009C5406"/>
    <w:rsid w:val="009E7722"/>
    <w:rsid w:val="00A04FC5"/>
    <w:rsid w:val="00A609FE"/>
    <w:rsid w:val="00A9716B"/>
    <w:rsid w:val="00AA1867"/>
    <w:rsid w:val="00AC43D8"/>
    <w:rsid w:val="00AC6C44"/>
    <w:rsid w:val="00B34A91"/>
    <w:rsid w:val="00B50D09"/>
    <w:rsid w:val="00B947D0"/>
    <w:rsid w:val="00B95F12"/>
    <w:rsid w:val="00BA7949"/>
    <w:rsid w:val="00BB06FF"/>
    <w:rsid w:val="00C2738F"/>
    <w:rsid w:val="00C34445"/>
    <w:rsid w:val="00C87F48"/>
    <w:rsid w:val="00C90657"/>
    <w:rsid w:val="00CB1875"/>
    <w:rsid w:val="00CB7C94"/>
    <w:rsid w:val="00CD4297"/>
    <w:rsid w:val="00CD6BFF"/>
    <w:rsid w:val="00CF0145"/>
    <w:rsid w:val="00CF3FB0"/>
    <w:rsid w:val="00CF5490"/>
    <w:rsid w:val="00D07790"/>
    <w:rsid w:val="00D35172"/>
    <w:rsid w:val="00D95255"/>
    <w:rsid w:val="00DA1A27"/>
    <w:rsid w:val="00DA4E58"/>
    <w:rsid w:val="00DD383D"/>
    <w:rsid w:val="00E553B7"/>
    <w:rsid w:val="00E56B00"/>
    <w:rsid w:val="00E72A5C"/>
    <w:rsid w:val="00E75879"/>
    <w:rsid w:val="00E8552F"/>
    <w:rsid w:val="00EC5E78"/>
    <w:rsid w:val="00ED7468"/>
    <w:rsid w:val="00ED7957"/>
    <w:rsid w:val="00F11DFA"/>
    <w:rsid w:val="00F22CB6"/>
    <w:rsid w:val="00F35A0A"/>
    <w:rsid w:val="00F4331D"/>
    <w:rsid w:val="00F668E0"/>
    <w:rsid w:val="00F72308"/>
    <w:rsid w:val="00F922B1"/>
    <w:rsid w:val="00F92EF7"/>
    <w:rsid w:val="00FE1763"/>
    <w:rsid w:val="00FF6354"/>
    <w:rsid w:val="00FF7863"/>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131AD5"/>
  <w15:docId w15:val="{A316AD9E-9C73-6849-A210-9EB725F67B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1A39"/>
    <w:rPr>
      <w:rFonts w:ascii="Times New Roman" w:hAnsi="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27</TotalTime>
  <Pages>14</Pages>
  <Words>1053</Words>
  <Characters>6007</Characters>
  <Application>Microsoft Office Word</Application>
  <DocSecurity>0</DocSecurity>
  <Lines>50</Lines>
  <Paragraphs>14</Paragraphs>
  <ScaleCrop>false</ScaleCrop>
  <Company>M.I.T.</Company>
  <LinksUpToDate>false</LinksUpToDate>
  <CharactersWithSpaces>7046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Donaldson</dc:creator>
  <cp:keywords/>
  <cp:lastModifiedBy>William Donaldson</cp:lastModifiedBy>
  <cp:revision>8</cp:revision>
  <dcterms:created xsi:type="dcterms:W3CDTF">2024-11-21T23:12:00Z</dcterms:created>
  <dcterms:modified xsi:type="dcterms:W3CDTF">2024-11-22T01:43:00Z</dcterms:modified>
</cp:coreProperties>
</file>