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71D2B" w:rsidRDefault="00171D2B">
      <w:pPr>
        <w:pBdr>
          <w:bottom w:val="single" w:sz="6" w:space="1" w:color="auto"/>
        </w:pBdr>
        <w:rPr>
          <w:b/>
          <w:sz w:val="28"/>
        </w:rPr>
      </w:pPr>
      <w:r w:rsidRPr="00171D2B">
        <w:rPr>
          <w:b/>
          <w:sz w:val="28"/>
        </w:rPr>
        <w:t>The Carles with the Breeks</w:t>
      </w:r>
    </w:p>
    <w:p w:rsidR="00171D2B" w:rsidRPr="00AE5F55" w:rsidRDefault="00171D2B" w:rsidP="00171D2B">
      <w:pPr>
        <w:spacing w:after="0"/>
        <w:rPr>
          <w:rFonts w:cs="Times New Roman"/>
        </w:rPr>
      </w:pPr>
      <w:r w:rsidRPr="00AE5F55">
        <w:rPr>
          <w:rFonts w:cs="Times New Roman"/>
        </w:rPr>
        <w:t>There are settings of this tune in the following manuscript sources:</w:t>
      </w:r>
    </w:p>
    <w:p w:rsidR="003162FB" w:rsidRPr="00AE5F55" w:rsidRDefault="00171D2B" w:rsidP="00171D2B">
      <w:pPr>
        <w:spacing w:after="0"/>
        <w:rPr>
          <w:rFonts w:cs="Times New Roman"/>
        </w:rPr>
      </w:pPr>
      <w:r w:rsidRPr="00AE5F55">
        <w:rPr>
          <w:rFonts w:cs="Times New Roman"/>
          <w:b/>
        </w:rPr>
        <w:t>--Colin Campbell</w:t>
      </w:r>
      <w:r w:rsidRPr="00AE5F55">
        <w:rPr>
          <w:rFonts w:cs="Times New Roman"/>
        </w:rPr>
        <w:t>’s “Nether Lorn Canntaireachd”, i, 44-5 (with the title “Lord Bredalbin’s Gathering”</w:t>
      </w:r>
      <w:r w:rsidR="003162FB" w:rsidRPr="00AE5F55">
        <w:rPr>
          <w:rFonts w:cs="Times New Roman"/>
        </w:rPr>
        <w:t xml:space="preserve">); </w:t>
      </w:r>
    </w:p>
    <w:p w:rsidR="003162FB" w:rsidRPr="00AE5F55" w:rsidRDefault="003162FB" w:rsidP="00171D2B">
      <w:pPr>
        <w:spacing w:after="0"/>
        <w:rPr>
          <w:rFonts w:cs="Times New Roman"/>
        </w:rPr>
      </w:pPr>
    </w:p>
    <w:p w:rsidR="003162FB" w:rsidRPr="00AE5F55" w:rsidRDefault="003162FB" w:rsidP="00171D2B">
      <w:pPr>
        <w:spacing w:after="0"/>
        <w:rPr>
          <w:rFonts w:cs="Times New Roman"/>
        </w:rPr>
      </w:pPr>
      <w:r w:rsidRPr="00AE5F55">
        <w:rPr>
          <w:rFonts w:cs="Times New Roman"/>
        </w:rPr>
        <w:t>and in the following published sources:</w:t>
      </w:r>
    </w:p>
    <w:p w:rsidR="00171D2B" w:rsidRPr="00AE5F55" w:rsidRDefault="00171D2B" w:rsidP="00171D2B">
      <w:pPr>
        <w:spacing w:after="0"/>
        <w:rPr>
          <w:rFonts w:cs="Times New Roman"/>
        </w:rPr>
      </w:pPr>
    </w:p>
    <w:p w:rsidR="005471DD" w:rsidRPr="00AE5F55" w:rsidRDefault="005471DD" w:rsidP="00171D2B">
      <w:pPr>
        <w:spacing w:after="0"/>
        <w:rPr>
          <w:rFonts w:cs="Times New Roman"/>
        </w:rPr>
      </w:pPr>
      <w:r w:rsidRPr="00AE5F55">
        <w:rPr>
          <w:rFonts w:cs="Times New Roman"/>
          <w:b/>
        </w:rPr>
        <w:t>--Donald MacDonald</w:t>
      </w:r>
      <w:r w:rsidRPr="00AE5F55">
        <w:rPr>
          <w:rFonts w:cs="Times New Roman"/>
        </w:rPr>
        <w:t xml:space="preserve">’s </w:t>
      </w:r>
      <w:r w:rsidRPr="00AE5F55">
        <w:rPr>
          <w:rFonts w:cs="Times New Roman"/>
          <w:i/>
        </w:rPr>
        <w:t xml:space="preserve">Ancient Martial Music, </w:t>
      </w:r>
      <w:r w:rsidRPr="00AE5F55">
        <w:rPr>
          <w:rFonts w:cs="Times New Roman"/>
        </w:rPr>
        <w:t>pp.102-5</w:t>
      </w:r>
      <w:r w:rsidR="000B704B" w:rsidRPr="00AE5F55">
        <w:rPr>
          <w:rFonts w:cs="Times New Roman"/>
        </w:rPr>
        <w:t xml:space="preserve"> (with the title </w:t>
      </w:r>
      <w:r w:rsidR="00C53578" w:rsidRPr="00AE5F55">
        <w:rPr>
          <w:rFonts w:cs="Times New Roman"/>
        </w:rPr>
        <w:t xml:space="preserve">“Bodaich na </w:t>
      </w:r>
      <w:r w:rsidR="00AB0F70" w:rsidRPr="00AE5F55">
        <w:rPr>
          <w:rFonts w:cs="Times New Roman"/>
        </w:rPr>
        <w:t>’</w:t>
      </w:r>
      <w:r w:rsidR="000B704B" w:rsidRPr="00AE5F55">
        <w:rPr>
          <w:rFonts w:cs="Times New Roman"/>
        </w:rPr>
        <w:t>m Brigis  Lord Braidalbane</w:t>
      </w:r>
      <w:r w:rsidR="00B64ED2" w:rsidRPr="00AE5F55">
        <w:rPr>
          <w:rFonts w:cs="Times New Roman"/>
        </w:rPr>
        <w:t>’</w:t>
      </w:r>
      <w:r w:rsidR="000B704B" w:rsidRPr="00AE5F55">
        <w:rPr>
          <w:rFonts w:cs="Times New Roman"/>
        </w:rPr>
        <w:t xml:space="preserve">s March To the Battle fought betwixt him and the </w:t>
      </w:r>
      <w:r w:rsidR="00C53578" w:rsidRPr="00AE5F55">
        <w:rPr>
          <w:rFonts w:cs="Times New Roman"/>
        </w:rPr>
        <w:t>Sinclairs of Caithness at Wick”</w:t>
      </w:r>
      <w:r w:rsidRPr="00AE5F55">
        <w:rPr>
          <w:rFonts w:cs="Times New Roman"/>
        </w:rPr>
        <w:t>;</w:t>
      </w:r>
    </w:p>
    <w:p w:rsidR="005471DD" w:rsidRPr="00AE5F55" w:rsidRDefault="005471DD" w:rsidP="00171D2B">
      <w:pPr>
        <w:spacing w:after="0"/>
        <w:rPr>
          <w:rFonts w:cs="Times New Roman"/>
        </w:rPr>
      </w:pPr>
      <w:r w:rsidRPr="00AE5F55">
        <w:rPr>
          <w:rFonts w:cs="Times New Roman"/>
        </w:rPr>
        <w:t>--</w:t>
      </w:r>
      <w:r w:rsidRPr="00AE5F55">
        <w:rPr>
          <w:rFonts w:cs="Times New Roman"/>
          <w:b/>
        </w:rPr>
        <w:t>Angus MacKay</w:t>
      </w:r>
      <w:r w:rsidRPr="00AE5F55">
        <w:rPr>
          <w:rFonts w:cs="Times New Roman"/>
        </w:rPr>
        <w:t xml:space="preserve">’s </w:t>
      </w:r>
      <w:r w:rsidRPr="00AE5F55">
        <w:rPr>
          <w:rFonts w:cs="Times New Roman"/>
          <w:i/>
        </w:rPr>
        <w:t xml:space="preserve">Ancient Piobaireachd, </w:t>
      </w:r>
      <w:r w:rsidRPr="00AE5F55">
        <w:rPr>
          <w:rFonts w:cs="Times New Roman"/>
        </w:rPr>
        <w:t xml:space="preserve">pp.5-6; </w:t>
      </w:r>
    </w:p>
    <w:p w:rsidR="005471DD" w:rsidRPr="00AE5F55" w:rsidRDefault="005471DD" w:rsidP="00171D2B">
      <w:pPr>
        <w:spacing w:after="0"/>
        <w:rPr>
          <w:rFonts w:cs="Times New Roman"/>
        </w:rPr>
      </w:pPr>
      <w:r w:rsidRPr="00AE5F55">
        <w:rPr>
          <w:rFonts w:cs="Times New Roman"/>
          <w:b/>
        </w:rPr>
        <w:t>--Donald MacPhee</w:t>
      </w:r>
      <w:r w:rsidRPr="00AE5F55">
        <w:rPr>
          <w:rFonts w:cs="Times New Roman"/>
        </w:rPr>
        <w:t xml:space="preserve">’s </w:t>
      </w:r>
      <w:r w:rsidRPr="00AE5F55">
        <w:rPr>
          <w:rFonts w:cs="Times New Roman"/>
          <w:i/>
        </w:rPr>
        <w:t xml:space="preserve">Collection of Piobaireachd, </w:t>
      </w:r>
      <w:r w:rsidRPr="00AE5F55">
        <w:rPr>
          <w:rFonts w:cs="Times New Roman"/>
        </w:rPr>
        <w:t>ii, 17-18;</w:t>
      </w:r>
    </w:p>
    <w:p w:rsidR="009274E3" w:rsidRPr="00AE5F55" w:rsidRDefault="009274E3" w:rsidP="00171D2B">
      <w:pPr>
        <w:spacing w:after="0"/>
        <w:rPr>
          <w:rFonts w:cs="Times New Roman"/>
        </w:rPr>
      </w:pPr>
      <w:r w:rsidRPr="00AE5F55">
        <w:rPr>
          <w:rFonts w:cs="Times New Roman"/>
          <w:b/>
        </w:rPr>
        <w:t>--C. S. Thomason</w:t>
      </w:r>
      <w:r w:rsidRPr="00AE5F55">
        <w:rPr>
          <w:rFonts w:cs="Times New Roman"/>
        </w:rPr>
        <w:t xml:space="preserve">’s </w:t>
      </w:r>
      <w:r w:rsidRPr="00AE5F55">
        <w:rPr>
          <w:rFonts w:cs="Times New Roman"/>
          <w:i/>
        </w:rPr>
        <w:t xml:space="preserve">Ceol Mor, </w:t>
      </w:r>
      <w:r w:rsidRPr="00AE5F55">
        <w:rPr>
          <w:rFonts w:cs="Times New Roman"/>
        </w:rPr>
        <w:t>p.45;</w:t>
      </w:r>
    </w:p>
    <w:p w:rsidR="009274E3" w:rsidRPr="00AE5F55" w:rsidRDefault="009274E3" w:rsidP="00171D2B">
      <w:pPr>
        <w:spacing w:after="0"/>
        <w:rPr>
          <w:rFonts w:cs="Times New Roman"/>
        </w:rPr>
      </w:pPr>
      <w:r w:rsidRPr="00AE5F55">
        <w:rPr>
          <w:rFonts w:cs="Times New Roman"/>
          <w:b/>
        </w:rPr>
        <w:t>--David Glen</w:t>
      </w:r>
      <w:r w:rsidRPr="00AE5F55">
        <w:rPr>
          <w:rFonts w:cs="Times New Roman"/>
        </w:rPr>
        <w:t xml:space="preserve">’s </w:t>
      </w:r>
      <w:r w:rsidRPr="00AE5F55">
        <w:rPr>
          <w:rFonts w:cs="Times New Roman"/>
          <w:i/>
        </w:rPr>
        <w:t>Co</w:t>
      </w:r>
      <w:r w:rsidR="00D00A6C" w:rsidRPr="00AE5F55">
        <w:rPr>
          <w:rFonts w:cs="Times New Roman"/>
          <w:i/>
        </w:rPr>
        <w:t>llection of Ancient Piobaireach</w:t>
      </w:r>
      <w:r w:rsidRPr="00AE5F55">
        <w:rPr>
          <w:rFonts w:cs="Times New Roman"/>
          <w:i/>
        </w:rPr>
        <w:t xml:space="preserve">d, </w:t>
      </w:r>
      <w:r w:rsidRPr="00AE5F55">
        <w:rPr>
          <w:rFonts w:cs="Times New Roman"/>
        </w:rPr>
        <w:t>pp.45-6;</w:t>
      </w:r>
    </w:p>
    <w:p w:rsidR="00D00A6C" w:rsidRPr="00AE5F55" w:rsidRDefault="00D00A6C" w:rsidP="00171D2B">
      <w:pPr>
        <w:spacing w:after="0"/>
        <w:rPr>
          <w:rFonts w:cs="Times New Roman"/>
        </w:rPr>
      </w:pPr>
      <w:r w:rsidRPr="00AE5F55">
        <w:rPr>
          <w:rFonts w:cs="Times New Roman"/>
          <w:b/>
        </w:rPr>
        <w:t>--William Stewart</w:t>
      </w:r>
      <w:r w:rsidRPr="00AE5F55">
        <w:rPr>
          <w:rFonts w:cs="Times New Roman"/>
        </w:rPr>
        <w:t xml:space="preserve">, </w:t>
      </w:r>
      <w:r w:rsidRPr="00AE5F55">
        <w:rPr>
          <w:rFonts w:cs="Times New Roman"/>
          <w:i/>
        </w:rPr>
        <w:t xml:space="preserve">et al., </w:t>
      </w:r>
      <w:r w:rsidRPr="00AE5F55">
        <w:rPr>
          <w:rFonts w:cs="Times New Roman"/>
        </w:rPr>
        <w:t xml:space="preserve">eds., </w:t>
      </w:r>
      <w:r w:rsidRPr="00AE5F55">
        <w:rPr>
          <w:rFonts w:cs="Times New Roman"/>
          <w:i/>
        </w:rPr>
        <w:t xml:space="preserve">Piobaireachd Society Collection, </w:t>
      </w:r>
      <w:r w:rsidRPr="00AE5F55">
        <w:rPr>
          <w:rFonts w:cs="Times New Roman"/>
        </w:rPr>
        <w:t>first series, iv, 12-13;</w:t>
      </w:r>
    </w:p>
    <w:p w:rsidR="00C53578" w:rsidRPr="00AE5F55" w:rsidRDefault="00C53578" w:rsidP="00171D2B">
      <w:pPr>
        <w:spacing w:after="0"/>
        <w:rPr>
          <w:rFonts w:cs="Times New Roman"/>
        </w:rPr>
      </w:pPr>
    </w:p>
    <w:p w:rsidR="00C53578" w:rsidRPr="00AE5F55" w:rsidRDefault="00C53578" w:rsidP="00171D2B">
      <w:pPr>
        <w:spacing w:after="0"/>
        <w:rPr>
          <w:rFonts w:cs="Times New Roman"/>
        </w:rPr>
      </w:pPr>
    </w:p>
    <w:p w:rsidR="00C53578" w:rsidRPr="00AE5F55" w:rsidRDefault="00C53578" w:rsidP="00171D2B">
      <w:pPr>
        <w:spacing w:after="0"/>
        <w:rPr>
          <w:rFonts w:cs="Times New Roman"/>
        </w:rPr>
      </w:pPr>
    </w:p>
    <w:p w:rsidR="00CE79BF" w:rsidRPr="00AE5F55" w:rsidRDefault="00C53578" w:rsidP="00171D2B">
      <w:pPr>
        <w:spacing w:after="0"/>
        <w:rPr>
          <w:rFonts w:cs="Times New Roman"/>
        </w:rPr>
      </w:pPr>
      <w:r w:rsidRPr="00AE5F55">
        <w:rPr>
          <w:rFonts w:cs="Times New Roman"/>
        </w:rPr>
        <w:t xml:space="preserve"> </w:t>
      </w:r>
      <w:r w:rsidR="00CE79BF" w:rsidRPr="00AE5F55">
        <w:rPr>
          <w:rFonts w:cs="Times New Roman"/>
          <w:b/>
        </w:rPr>
        <w:t xml:space="preserve">Colin Campbell </w:t>
      </w:r>
      <w:r w:rsidR="00CE79BF" w:rsidRPr="00AE5F55">
        <w:rPr>
          <w:rFonts w:cs="Times New Roman"/>
        </w:rPr>
        <w:t>sets the tune like this:</w:t>
      </w:r>
    </w:p>
    <w:p w:rsidR="00CE79BF" w:rsidRPr="00AE5F55" w:rsidRDefault="00CE79BF" w:rsidP="00171D2B">
      <w:pPr>
        <w:spacing w:after="0"/>
        <w:rPr>
          <w:rFonts w:cs="Times New Roman"/>
        </w:rPr>
      </w:pPr>
    </w:p>
    <w:p w:rsidR="005471DD" w:rsidRPr="00CE79BF" w:rsidRDefault="00CE79BF" w:rsidP="00171D2B">
      <w:pPr>
        <w:spacing w:after="0"/>
      </w:pPr>
      <w:r>
        <w:rPr>
          <w:noProof/>
        </w:rPr>
        <w:lastRenderedPageBreak/>
        <w:drawing>
          <wp:inline distT="0" distB="0" distL="0" distR="0">
            <wp:extent cx="5024755" cy="8220075"/>
            <wp:effectExtent l="25400" t="0" r="4445" b="0"/>
            <wp:docPr id="1" name="Picture 1" descr=":Set Tunes 2015 scans:Carles with the Breeks, Nether Lorn,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Set Tunes 2015 scans:Carles with the Breeks, Nether Lorn, 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75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D1C" w:rsidRDefault="00CF1D1C" w:rsidP="00171D2B">
      <w:pPr>
        <w:spacing w:after="0"/>
      </w:pPr>
    </w:p>
    <w:p w:rsidR="00CF1D1C" w:rsidRDefault="00CF1D1C" w:rsidP="00171D2B">
      <w:pPr>
        <w:spacing w:after="0"/>
      </w:pPr>
    </w:p>
    <w:p w:rsidR="00CF1D1C" w:rsidRDefault="00CF1D1C" w:rsidP="00171D2B">
      <w:pPr>
        <w:spacing w:after="0"/>
      </w:pPr>
    </w:p>
    <w:p w:rsidR="00CF1D1C" w:rsidRDefault="00CF1D1C" w:rsidP="00171D2B">
      <w:pPr>
        <w:spacing w:after="0"/>
      </w:pPr>
    </w:p>
    <w:p w:rsidR="00CF1D1C" w:rsidRDefault="00CF1D1C" w:rsidP="00171D2B">
      <w:pPr>
        <w:spacing w:after="0"/>
      </w:pPr>
    </w:p>
    <w:p w:rsidR="00CF1D1C" w:rsidRDefault="00CF1D1C" w:rsidP="00171D2B">
      <w:pPr>
        <w:spacing w:after="0"/>
      </w:pPr>
    </w:p>
    <w:p w:rsidR="00CF1D1C" w:rsidRDefault="00CF1D1C" w:rsidP="00171D2B">
      <w:pPr>
        <w:spacing w:after="0"/>
      </w:pPr>
    </w:p>
    <w:p w:rsidR="00CF1D1C" w:rsidRDefault="00CF1D1C" w:rsidP="00171D2B">
      <w:pPr>
        <w:spacing w:after="0"/>
      </w:pPr>
    </w:p>
    <w:p w:rsidR="00CF1D1C" w:rsidRDefault="00CE79BF" w:rsidP="00171D2B">
      <w:pPr>
        <w:spacing w:after="0"/>
      </w:pPr>
      <w:r>
        <w:rPr>
          <w:noProof/>
        </w:rPr>
        <w:drawing>
          <wp:inline distT="0" distB="0" distL="0" distR="0">
            <wp:extent cx="5486400" cy="2488565"/>
            <wp:effectExtent l="25400" t="0" r="0" b="0"/>
            <wp:docPr id="2" name="Picture 2" descr=":Set Tunes 2015 scans:Carles with the Breeks, Nether Lorn,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Set Tunes 2015 scans:Carles with the Breeks, Nether Lorn, 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488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D1C" w:rsidRDefault="00CF1D1C" w:rsidP="00171D2B">
      <w:pPr>
        <w:spacing w:after="0"/>
      </w:pPr>
    </w:p>
    <w:p w:rsidR="00CF1D1C" w:rsidRDefault="00CF1D1C" w:rsidP="00171D2B">
      <w:pPr>
        <w:spacing w:after="0"/>
      </w:pPr>
    </w:p>
    <w:p w:rsidR="00CF1D1C" w:rsidRPr="00CE79BF" w:rsidRDefault="00CE79BF" w:rsidP="00171D2B">
      <w:pPr>
        <w:spacing w:after="0"/>
      </w:pPr>
      <w:r>
        <w:rPr>
          <w:b/>
        </w:rPr>
        <w:t>Colin Campbell</w:t>
      </w:r>
      <w:r w:rsidR="00C53578">
        <w:rPr>
          <w:b/>
        </w:rPr>
        <w:t xml:space="preserve">, </w:t>
      </w:r>
      <w:r w:rsidR="00C53578">
        <w:t xml:space="preserve">who actually worked for the Breadalbanes and may be expected therefore to have known this tune particularly well, </w:t>
      </w:r>
      <w:r>
        <w:t>develops the</w:t>
      </w:r>
      <w:r w:rsidR="00C53578">
        <w:t xml:space="preserve"> piece</w:t>
      </w:r>
      <w:r>
        <w:t xml:space="preserve"> in a straightforward and logical manner: ground; </w:t>
      </w:r>
      <w:r w:rsidR="00C404AC">
        <w:t>leumluath</w:t>
      </w:r>
      <w:r>
        <w:t xml:space="preserve"> singling and doubling; taorluath duinte singling a</w:t>
      </w:r>
      <w:r w:rsidR="000B704B">
        <w:t>n</w:t>
      </w:r>
      <w:r>
        <w:t xml:space="preserve">d doubling; and crunluath duinte singling and doubling.  The only real interpretational difficulty is what to make of the introductory notes to the movements of the ground, </w:t>
      </w:r>
      <w:r w:rsidRPr="00982CE8">
        <w:rPr>
          <w:i/>
          <w:iCs/>
        </w:rPr>
        <w:t>hiharin, hiharara, hihorodo,</w:t>
      </w:r>
      <w:r>
        <w:t xml:space="preserve"> and whether these were intended as cadence notes or cuttings.   </w:t>
      </w:r>
      <w:r w:rsidR="00C53578">
        <w:t xml:space="preserve">A possible interpretation is suggested in the accompanying MP3 file.  </w:t>
      </w:r>
    </w:p>
    <w:p w:rsidR="00CF1D1C" w:rsidRDefault="00CF1D1C" w:rsidP="00171D2B">
      <w:pPr>
        <w:spacing w:after="0"/>
      </w:pPr>
    </w:p>
    <w:p w:rsidR="009832A4" w:rsidRDefault="009832A4" w:rsidP="00171D2B">
      <w:pPr>
        <w:spacing w:after="0"/>
      </w:pPr>
      <w:r>
        <w:rPr>
          <w:b/>
        </w:rPr>
        <w:t>Donald MacDonald</w:t>
      </w:r>
      <w:r w:rsidR="004F6501">
        <w:rPr>
          <w:b/>
        </w:rPr>
        <w:t xml:space="preserve">’s </w:t>
      </w:r>
      <w:r w:rsidR="004F6501" w:rsidRPr="004F6501">
        <w:t>published setting is as follows</w:t>
      </w:r>
      <w:r>
        <w:t xml:space="preserve">: </w:t>
      </w:r>
    </w:p>
    <w:p w:rsidR="009832A4" w:rsidRDefault="009832A4" w:rsidP="00171D2B">
      <w:pPr>
        <w:spacing w:after="0"/>
      </w:pPr>
    </w:p>
    <w:p w:rsidR="009832A4" w:rsidRDefault="00B67DBE" w:rsidP="00171D2B">
      <w:pPr>
        <w:spacing w:after="0"/>
      </w:pPr>
      <w:r>
        <w:rPr>
          <w:noProof/>
        </w:rPr>
        <w:lastRenderedPageBreak/>
        <w:drawing>
          <wp:inline distT="0" distB="0" distL="0" distR="0">
            <wp:extent cx="5476875" cy="7484745"/>
            <wp:effectExtent l="25400" t="0" r="9525" b="0"/>
            <wp:docPr id="3" name="Picture 3" descr=":Set Tunes 2015 scans:Carles with the Breeks, Donald MacDonal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Set Tunes 2015 scans:Carles with the Breeks, Donald MacDonald 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48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DBE" w:rsidRDefault="00B67DBE" w:rsidP="00171D2B">
      <w:pPr>
        <w:spacing w:after="0"/>
        <w:rPr>
          <w:b/>
        </w:rPr>
      </w:pPr>
    </w:p>
    <w:p w:rsidR="00B67DBE" w:rsidRDefault="00B67DBE" w:rsidP="00171D2B">
      <w:pPr>
        <w:spacing w:after="0"/>
        <w:rPr>
          <w:b/>
        </w:rPr>
      </w:pPr>
    </w:p>
    <w:p w:rsidR="00B67DBE" w:rsidRDefault="00B67DBE" w:rsidP="00171D2B">
      <w:pPr>
        <w:spacing w:after="0"/>
        <w:rPr>
          <w:b/>
        </w:rPr>
      </w:pPr>
    </w:p>
    <w:p w:rsidR="00B67DBE" w:rsidRDefault="00B67DBE" w:rsidP="00171D2B">
      <w:pPr>
        <w:spacing w:after="0"/>
        <w:rPr>
          <w:b/>
        </w:rPr>
      </w:pPr>
    </w:p>
    <w:p w:rsidR="004F6501" w:rsidRDefault="0042294F" w:rsidP="00171D2B">
      <w:pPr>
        <w:spacing w:after="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86400" cy="7541260"/>
            <wp:effectExtent l="25400" t="0" r="0" b="0"/>
            <wp:docPr id="7" name="Picture 1" descr=":Set Tunes 2015 scans:Carles with the Breeks, Donald MacDonal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Set Tunes 2015 scans:Carles with the Breeks, Donald MacDonald 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4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501" w:rsidRDefault="004F6501" w:rsidP="00171D2B">
      <w:pPr>
        <w:spacing w:after="0"/>
        <w:rPr>
          <w:b/>
        </w:rPr>
      </w:pPr>
    </w:p>
    <w:p w:rsidR="004F6501" w:rsidRDefault="004F6501" w:rsidP="00171D2B">
      <w:pPr>
        <w:spacing w:after="0"/>
        <w:rPr>
          <w:b/>
        </w:rPr>
      </w:pPr>
    </w:p>
    <w:p w:rsidR="004F6501" w:rsidRDefault="004F6501" w:rsidP="00171D2B">
      <w:pPr>
        <w:spacing w:after="0"/>
        <w:rPr>
          <w:b/>
        </w:rPr>
      </w:pPr>
    </w:p>
    <w:p w:rsidR="004F6501" w:rsidRDefault="004F6501" w:rsidP="00171D2B">
      <w:pPr>
        <w:spacing w:after="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86400" cy="7541260"/>
            <wp:effectExtent l="25400" t="0" r="0" b="0"/>
            <wp:docPr id="6" name="Picture 2" descr=":Set Tunes 2015 scans:carles with the breeks, Donald MacDonald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Set Tunes 2015 scans:carles with the breeks, Donald MacDonald 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4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501" w:rsidRDefault="004F6501" w:rsidP="00171D2B">
      <w:pPr>
        <w:spacing w:after="0"/>
        <w:rPr>
          <w:b/>
        </w:rPr>
      </w:pPr>
    </w:p>
    <w:p w:rsidR="0042294F" w:rsidRDefault="0042294F" w:rsidP="00171D2B">
      <w:pPr>
        <w:spacing w:after="0"/>
        <w:rPr>
          <w:b/>
        </w:rPr>
      </w:pPr>
    </w:p>
    <w:p w:rsidR="0042294F" w:rsidRDefault="0042294F" w:rsidP="00171D2B">
      <w:pPr>
        <w:spacing w:after="0"/>
        <w:rPr>
          <w:b/>
        </w:rPr>
      </w:pPr>
    </w:p>
    <w:p w:rsidR="0042294F" w:rsidRDefault="0042294F" w:rsidP="00171D2B">
      <w:pPr>
        <w:spacing w:after="0"/>
        <w:rPr>
          <w:b/>
        </w:rPr>
      </w:pPr>
    </w:p>
    <w:p w:rsidR="0042294F" w:rsidRDefault="0042294F" w:rsidP="00171D2B">
      <w:pPr>
        <w:spacing w:after="0"/>
        <w:rPr>
          <w:b/>
        </w:rPr>
      </w:pPr>
    </w:p>
    <w:p w:rsidR="00F37758" w:rsidRDefault="0042294F" w:rsidP="00171D2B">
      <w:pPr>
        <w:spacing w:after="0"/>
        <w:rPr>
          <w:b/>
        </w:rPr>
      </w:pPr>
      <w:r>
        <w:rPr>
          <w:b/>
          <w:noProof/>
        </w:rPr>
        <w:drawing>
          <wp:inline distT="0" distB="0" distL="0" distR="0">
            <wp:extent cx="5486400" cy="7541260"/>
            <wp:effectExtent l="25400" t="0" r="0" b="0"/>
            <wp:docPr id="9" name="Picture 4" descr=":Set Tunes 2015 scans:Carles with the Breeks, Donald MacDonald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Set Tunes 2015 scans:Carles with the Breeks, Donald MacDonald 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4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94F" w:rsidRPr="004F6501" w:rsidRDefault="0042294F" w:rsidP="0042294F">
      <w:pPr>
        <w:spacing w:after="0"/>
      </w:pPr>
      <w:r>
        <w:rPr>
          <w:b/>
        </w:rPr>
        <w:lastRenderedPageBreak/>
        <w:t>MacDonald</w:t>
      </w:r>
      <w:r>
        <w:t>’s setting is much more profuse in its use of introductory notes in the ground, so much so</w:t>
      </w:r>
      <w:r w:rsidR="008D5994">
        <w:t>, perhaps, as to</w:t>
      </w:r>
      <w:r>
        <w:t xml:space="preserve"> impede the flow of the tune if given any significant time value. We note the attractive run down D-B-G at the end of the A phrase in the singlings of the later variations where </w:t>
      </w:r>
      <w:r>
        <w:rPr>
          <w:b/>
        </w:rPr>
        <w:t xml:space="preserve">Colin Campbell </w:t>
      </w:r>
      <w:r>
        <w:t>had used a basic duinte taorluath and crunluath figure in such locations</w:t>
      </w:r>
      <w:r w:rsidR="008D5994">
        <w:t>, and the fact that MacDonald repeats the ground after every doubling of the variations</w:t>
      </w:r>
      <w:r w:rsidR="00982CE8">
        <w:t>,</w:t>
      </w:r>
      <w:r w:rsidR="008D5994">
        <w:t xml:space="preserve"> which </w:t>
      </w:r>
      <w:r w:rsidR="00B33012">
        <w:t>suggests</w:t>
      </w:r>
      <w:r w:rsidR="008D5994">
        <w:t xml:space="preserve"> a pretty brisk approach to the timing of the tune as a whole.</w:t>
      </w:r>
      <w:r>
        <w:t xml:space="preserve">  </w:t>
      </w:r>
    </w:p>
    <w:p w:rsidR="0042294F" w:rsidRDefault="0042294F" w:rsidP="00171D2B">
      <w:pPr>
        <w:spacing w:after="0"/>
        <w:rPr>
          <w:b/>
        </w:rPr>
      </w:pPr>
    </w:p>
    <w:p w:rsidR="00055A46" w:rsidRDefault="009832A4" w:rsidP="00171D2B">
      <w:pPr>
        <w:spacing w:after="0"/>
        <w:rPr>
          <w:b/>
        </w:rPr>
      </w:pPr>
      <w:r>
        <w:rPr>
          <w:b/>
        </w:rPr>
        <w:t xml:space="preserve">Angus MacKay </w:t>
      </w:r>
      <w:r>
        <w:t>sets the tune like this:</w:t>
      </w:r>
      <w:r w:rsidR="00795AEB">
        <w:t xml:space="preserve"> </w:t>
      </w:r>
    </w:p>
    <w:p w:rsidR="009832A4" w:rsidRPr="00795AEB" w:rsidRDefault="00055A46" w:rsidP="00171D2B">
      <w:pPr>
        <w:spacing w:after="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89281" cy="6996547"/>
            <wp:effectExtent l="2540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b="1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281" cy="6996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D1C" w:rsidRPr="009832A4" w:rsidRDefault="00CF1D1C" w:rsidP="00171D2B">
      <w:pPr>
        <w:spacing w:after="0"/>
      </w:pPr>
    </w:p>
    <w:p w:rsidR="00CF1D1C" w:rsidRDefault="00737468" w:rsidP="00171D2B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9281" cy="7071611"/>
            <wp:effectExtent l="2540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2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281" cy="7071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468" w:rsidRDefault="00737468" w:rsidP="00171D2B">
      <w:pPr>
        <w:spacing w:after="0"/>
      </w:pPr>
    </w:p>
    <w:p w:rsidR="00737468" w:rsidRDefault="00737468" w:rsidP="00171D2B">
      <w:pPr>
        <w:spacing w:after="0"/>
      </w:pPr>
    </w:p>
    <w:p w:rsidR="00CF1D1C" w:rsidRDefault="0062782D" w:rsidP="00171D2B">
      <w:pPr>
        <w:spacing w:after="0"/>
      </w:pPr>
      <w:r>
        <w:t xml:space="preserve">MacKay’s </w:t>
      </w:r>
      <w:r w:rsidR="00737468">
        <w:t>square</w:t>
      </w:r>
      <w:r>
        <w:t xml:space="preserve"> 4/4 timing stands in contrast to the lilting </w:t>
      </w:r>
      <w:r w:rsidR="00B33012">
        <w:t>6/8</w:t>
      </w:r>
      <w:r>
        <w:t xml:space="preserve"> timing </w:t>
      </w:r>
      <w:r w:rsidR="00B33012">
        <w:t xml:space="preserve">(stated or implied) </w:t>
      </w:r>
      <w:r>
        <w:t xml:space="preserve">of Campbell and MacDonald.  </w:t>
      </w:r>
      <w:r w:rsidR="00471B9B">
        <w:t>(alth</w:t>
      </w:r>
      <w:r w:rsidR="009851C4">
        <w:t>o</w:t>
      </w:r>
      <w:r w:rsidR="00471B9B">
        <w:t xml:space="preserve">ugh the rhythm of the words of the little song quoted beneath line suggest something closer to MacDonald and </w:t>
      </w:r>
      <w:r w:rsidR="00651B2B">
        <w:t xml:space="preserve">Colin </w:t>
      </w:r>
      <w:r w:rsidR="00471B9B">
        <w:t xml:space="preserve">Campbell). </w:t>
      </w:r>
      <w:r w:rsidR="00F0676D">
        <w:t xml:space="preserve">  MacKay develops the tune in a similar manner however, with a </w:t>
      </w:r>
      <w:r w:rsidR="00F0676D">
        <w:lastRenderedPageBreak/>
        <w:t xml:space="preserve">ground followed by </w:t>
      </w:r>
      <w:r w:rsidR="00C404AC">
        <w:t>leumluath</w:t>
      </w:r>
      <w:r w:rsidR="00F0676D">
        <w:t xml:space="preserve">, taorluath and crunluath variations, singling and doubling.  Here, though, the ground is restated only once within the tune, at the end of the taorluath doubling.  </w:t>
      </w:r>
      <w:r w:rsidR="00471B9B">
        <w:t xml:space="preserve">  </w:t>
      </w:r>
    </w:p>
    <w:p w:rsidR="00CF1D1C" w:rsidRDefault="00CF1D1C" w:rsidP="00171D2B">
      <w:pPr>
        <w:spacing w:after="0"/>
      </w:pPr>
    </w:p>
    <w:p w:rsidR="00190ED1" w:rsidRDefault="00190ED1" w:rsidP="00171D2B">
      <w:pPr>
        <w:spacing w:after="0"/>
      </w:pPr>
      <w:r>
        <w:rPr>
          <w:b/>
        </w:rPr>
        <w:t xml:space="preserve">Donald MacPhee </w:t>
      </w:r>
      <w:r>
        <w:t xml:space="preserve">largely follows </w:t>
      </w:r>
      <w:r w:rsidRPr="00190ED1">
        <w:rPr>
          <w:b/>
        </w:rPr>
        <w:t>MacKay</w:t>
      </w:r>
      <w:r>
        <w:t xml:space="preserve">, but has a number of interesting individual touches, thus: </w:t>
      </w:r>
    </w:p>
    <w:p w:rsidR="00190ED1" w:rsidRDefault="00190ED1" w:rsidP="00171D2B">
      <w:pPr>
        <w:spacing w:after="0"/>
      </w:pPr>
    </w:p>
    <w:p w:rsidR="00190ED1" w:rsidRDefault="00190ED1" w:rsidP="00171D2B">
      <w:pPr>
        <w:spacing w:after="0"/>
      </w:pPr>
    </w:p>
    <w:p w:rsidR="00190ED1" w:rsidRDefault="00190ED1" w:rsidP="00171D2B">
      <w:pPr>
        <w:spacing w:after="0"/>
      </w:pPr>
    </w:p>
    <w:p w:rsidR="00190ED1" w:rsidRDefault="00190ED1" w:rsidP="00171D2B">
      <w:pPr>
        <w:spacing w:after="0"/>
      </w:pPr>
    </w:p>
    <w:p w:rsidR="00190ED1" w:rsidRDefault="00D23351" w:rsidP="00171D2B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6400" cy="7541260"/>
            <wp:effectExtent l="25400" t="0" r="0" b="0"/>
            <wp:docPr id="11" name="Picture 5" descr="::Carles with the Breeks, MacPhe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::Carles with the Breeks, MacPhee 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4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ED1" w:rsidRDefault="00190ED1" w:rsidP="00171D2B">
      <w:pPr>
        <w:spacing w:after="0"/>
      </w:pPr>
    </w:p>
    <w:p w:rsidR="00CF1D1C" w:rsidRPr="00190ED1" w:rsidRDefault="00CF1D1C" w:rsidP="00171D2B">
      <w:pPr>
        <w:spacing w:after="0"/>
      </w:pPr>
    </w:p>
    <w:p w:rsidR="00190ED1" w:rsidRDefault="00D23351" w:rsidP="00171D2B">
      <w:pPr>
        <w:spacing w:after="0"/>
      </w:pPr>
      <w:r w:rsidRPr="00D23351">
        <w:rPr>
          <w:noProof/>
        </w:rPr>
        <w:lastRenderedPageBreak/>
        <w:drawing>
          <wp:inline distT="0" distB="0" distL="0" distR="0">
            <wp:extent cx="5486400" cy="7549393"/>
            <wp:effectExtent l="25400" t="0" r="0" b="0"/>
            <wp:docPr id="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49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04B" w:rsidRDefault="000B704B" w:rsidP="00171D2B">
      <w:pPr>
        <w:spacing w:after="0"/>
        <w:rPr>
          <w:b/>
        </w:rPr>
      </w:pPr>
    </w:p>
    <w:p w:rsidR="000B704B" w:rsidRDefault="000B704B" w:rsidP="00171D2B">
      <w:pPr>
        <w:spacing w:after="0"/>
        <w:rPr>
          <w:b/>
        </w:rPr>
      </w:pPr>
    </w:p>
    <w:p w:rsidR="000B704B" w:rsidRDefault="000B704B" w:rsidP="00171D2B">
      <w:pPr>
        <w:spacing w:after="0"/>
        <w:rPr>
          <w:b/>
        </w:rPr>
      </w:pPr>
    </w:p>
    <w:p w:rsidR="00DB13A5" w:rsidRDefault="00190ED1" w:rsidP="00171D2B">
      <w:pPr>
        <w:spacing w:after="0"/>
      </w:pPr>
      <w:r>
        <w:rPr>
          <w:b/>
        </w:rPr>
        <w:lastRenderedPageBreak/>
        <w:t xml:space="preserve">MacPhee </w:t>
      </w:r>
      <w:r>
        <w:t xml:space="preserve">emphasises the initial low A in his gairm movement, unlike the cut version in </w:t>
      </w:r>
      <w:r>
        <w:rPr>
          <w:b/>
        </w:rPr>
        <w:t>MacKay</w:t>
      </w:r>
      <w:r>
        <w:t>, he</w:t>
      </w:r>
      <w:r>
        <w:rPr>
          <w:b/>
        </w:rPr>
        <w:t xml:space="preserve"> </w:t>
      </w:r>
      <w:r>
        <w:t>drops the repeat of the ground at the end of the taorluath doubling, and includes a crunluath a mach—so for those who wanted to go down this route MacPhee would represent an attractive, very playable option</w:t>
      </w:r>
      <w:r w:rsidR="005F125B">
        <w:t xml:space="preserve"> if one is reconciled to the </w:t>
      </w:r>
      <w:r w:rsidR="00A15AA5">
        <w:t>square 4/4</w:t>
      </w:r>
      <w:r w:rsidR="005F125B">
        <w:t xml:space="preserve"> timing of the ground</w:t>
      </w:r>
      <w:r>
        <w:t xml:space="preserve">.  </w:t>
      </w:r>
    </w:p>
    <w:p w:rsidR="00DB13A5" w:rsidRDefault="00DB13A5" w:rsidP="00171D2B">
      <w:pPr>
        <w:spacing w:after="0"/>
      </w:pPr>
    </w:p>
    <w:p w:rsidR="005F125B" w:rsidRPr="00F91DCE" w:rsidRDefault="00F91DCE" w:rsidP="00171D2B">
      <w:pPr>
        <w:spacing w:after="0"/>
      </w:pPr>
      <w:r>
        <w:rPr>
          <w:b/>
        </w:rPr>
        <w:t>C. S. Thomason</w:t>
      </w:r>
      <w:r>
        <w:t xml:space="preserve"> follows </w:t>
      </w:r>
      <w:r w:rsidR="000B704B">
        <w:t>Donald MacDonald</w:t>
      </w:r>
      <w:r>
        <w:t xml:space="preserve"> (although adopting </w:t>
      </w:r>
      <w:r w:rsidRPr="00F91DCE">
        <w:rPr>
          <w:b/>
        </w:rPr>
        <w:t>MacKay</w:t>
      </w:r>
      <w:r>
        <w:t>-style double-echo beats throughout).  Otherwise his score adds little to the inte</w:t>
      </w:r>
      <w:r w:rsidR="006D54D7">
        <w:t>rpretative possibilities of the</w:t>
      </w:r>
      <w:r>
        <w:t xml:space="preserve"> tune and is not reproduced here.    </w:t>
      </w:r>
    </w:p>
    <w:p w:rsidR="005F125B" w:rsidRDefault="005F125B" w:rsidP="00171D2B">
      <w:pPr>
        <w:spacing w:after="0"/>
      </w:pPr>
    </w:p>
    <w:p w:rsidR="006562AA" w:rsidRDefault="00DB13A5" w:rsidP="00171D2B">
      <w:pPr>
        <w:spacing w:after="0"/>
      </w:pPr>
      <w:r>
        <w:rPr>
          <w:b/>
        </w:rPr>
        <w:t xml:space="preserve">David Glen </w:t>
      </w:r>
      <w:r>
        <w:t xml:space="preserve">also follows the MacDonald style, setting the ground in </w:t>
      </w:r>
      <w:r w:rsidR="00233F3B">
        <w:t>6/8</w:t>
      </w:r>
      <w:r>
        <w:t xml:space="preserve"> tim</w:t>
      </w:r>
      <w:r w:rsidR="000B704B">
        <w:t>e and playing the gairm on to a</w:t>
      </w:r>
      <w:r>
        <w:t xml:space="preserve"> low A dotted quaver.  Interestingly he returns straight to E from high A in the final bar of the ground</w:t>
      </w:r>
      <w:r w:rsidR="006562AA">
        <w:t>, presumably to follow the tone row of the variations more exactly</w:t>
      </w:r>
      <w:r w:rsidR="007D69F7">
        <w:t xml:space="preserve">; doubly interesting in view of the fact that </w:t>
      </w:r>
      <w:r w:rsidR="007D69F7">
        <w:rPr>
          <w:b/>
        </w:rPr>
        <w:t>Donald MacPhee</w:t>
      </w:r>
      <w:r w:rsidR="00A15AA5" w:rsidRPr="00A15AA5">
        <w:t>,</w:t>
      </w:r>
      <w:r w:rsidR="007D69F7">
        <w:t xml:space="preserve"> of whose editorial approach this was a typical feature</w:t>
      </w:r>
      <w:r w:rsidR="00A15AA5">
        <w:t>,</w:t>
      </w:r>
      <w:r w:rsidR="007D69F7">
        <w:t xml:space="preserve"> did not elect to do it on this occasion, but came back down to E via a throw on F like </w:t>
      </w:r>
      <w:r w:rsidR="000B704B">
        <w:t>most other people</w:t>
      </w:r>
      <w:r w:rsidR="007D69F7">
        <w:t xml:space="preserve"> did</w:t>
      </w:r>
      <w:r w:rsidR="006562AA">
        <w:t xml:space="preserve">.  </w:t>
      </w:r>
    </w:p>
    <w:p w:rsidR="006562AA" w:rsidRDefault="006562AA" w:rsidP="00171D2B">
      <w:pPr>
        <w:spacing w:after="0"/>
      </w:pPr>
    </w:p>
    <w:p w:rsidR="006562AA" w:rsidRDefault="006562AA" w:rsidP="00171D2B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6400" cy="7589238"/>
            <wp:effectExtent l="25400" t="0" r="0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89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ED1" w:rsidRPr="00DB13A5" w:rsidRDefault="00190ED1" w:rsidP="00171D2B">
      <w:pPr>
        <w:spacing w:after="0"/>
      </w:pPr>
    </w:p>
    <w:p w:rsidR="006B6ACF" w:rsidRDefault="006B6ACF" w:rsidP="00171D2B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6400" cy="7636417"/>
            <wp:effectExtent l="25400" t="0" r="0" b="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636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It is interesting that neither Thomason nor Glen follows MacPhee in including a crunluath a mach.  </w:t>
      </w:r>
    </w:p>
    <w:p w:rsidR="00F47424" w:rsidRDefault="00F47424" w:rsidP="00171D2B">
      <w:pPr>
        <w:spacing w:after="0"/>
      </w:pPr>
    </w:p>
    <w:p w:rsidR="00F47424" w:rsidRDefault="00F47424" w:rsidP="00171D2B">
      <w:pPr>
        <w:spacing w:after="0"/>
      </w:pPr>
      <w:r>
        <w:lastRenderedPageBreak/>
        <w:t xml:space="preserve">The </w:t>
      </w:r>
      <w:r>
        <w:rPr>
          <w:b/>
          <w:i/>
        </w:rPr>
        <w:t xml:space="preserve">Piobaireachd Society Collection </w:t>
      </w:r>
      <w:r>
        <w:t xml:space="preserve">(first series) score </w:t>
      </w:r>
      <w:r w:rsidR="00233F3B">
        <w:t xml:space="preserve">does not </w:t>
      </w:r>
      <w:r>
        <w:t>add to the interpretational possibilities of the tune and is not reproduced here.</w:t>
      </w:r>
    </w:p>
    <w:p w:rsidR="00F47424" w:rsidRDefault="00F47424" w:rsidP="00171D2B">
      <w:pPr>
        <w:spacing w:after="0"/>
      </w:pPr>
    </w:p>
    <w:p w:rsidR="00F47424" w:rsidRDefault="00F47424" w:rsidP="00171D2B">
      <w:pPr>
        <w:spacing w:after="0"/>
        <w:rPr>
          <w:i/>
          <w:sz w:val="28"/>
        </w:rPr>
      </w:pPr>
      <w:r w:rsidRPr="00F47424">
        <w:rPr>
          <w:i/>
          <w:sz w:val="28"/>
        </w:rPr>
        <w:t xml:space="preserve">Commentary: </w:t>
      </w:r>
    </w:p>
    <w:p w:rsidR="00F47424" w:rsidRDefault="00F47424" w:rsidP="00171D2B">
      <w:pPr>
        <w:spacing w:after="0"/>
      </w:pPr>
    </w:p>
    <w:p w:rsidR="005D59A7" w:rsidRDefault="005D59A7" w:rsidP="00171D2B">
      <w:pPr>
        <w:spacing w:after="0"/>
      </w:pPr>
      <w:r>
        <w:t xml:space="preserve">This tune is associated with a raid by Breadalbane’s people into </w:t>
      </w:r>
      <w:r w:rsidR="009851C4">
        <w:t>the far North East in the year 1680</w:t>
      </w:r>
      <w:r>
        <w:t xml:space="preserve">.  The most convenient brief summary of the complex of legal claim and counter-claim which lay behind what was effectively an act of territorial aggrandisement is given by James Logan in the notes to Angus MacKay’s </w:t>
      </w:r>
      <w:r>
        <w:rPr>
          <w:i/>
        </w:rPr>
        <w:t xml:space="preserve">Ancient Piobaireachd.  </w:t>
      </w:r>
      <w:r>
        <w:t xml:space="preserve"> One might add that there is a story that the night before the battle, the canny </w:t>
      </w:r>
      <w:r w:rsidR="00FD61D6">
        <w:t xml:space="preserve">southerners </w:t>
      </w:r>
      <w:r>
        <w:t xml:space="preserve">deliberately </w:t>
      </w:r>
      <w:r w:rsidR="00FD61D6">
        <w:t xml:space="preserve">beached </w:t>
      </w:r>
      <w:r>
        <w:t xml:space="preserve">a small vessel crammed with barrels of whisky in the immediate rear of the Caithness </w:t>
      </w:r>
      <w:r w:rsidR="00FD61D6">
        <w:t>forces</w:t>
      </w:r>
      <w:r>
        <w:t xml:space="preserve">, and awaited the inevitable:  </w:t>
      </w:r>
    </w:p>
    <w:p w:rsidR="005D59A7" w:rsidRDefault="005D59A7" w:rsidP="00171D2B">
      <w:pPr>
        <w:spacing w:after="0"/>
      </w:pP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There had been, for a considerable time, misunderstandings and mutual jealousies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between the Sinclairs and the Mackays, which circumstances, ripened into feud, mutual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aggression, and slaughter. In 1668, Colonel Hugh MacKay of Scourie was subjected to so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severe an imprisonment by Lord Caithness that it cost him his life. Shortly after this event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his brother Hector was waylaid in Aberdeenshire by Sinclair of Dunbeath and Sinclair of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Murkle, and was killed after a stout contention in which MacKay’s servant severely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wounded both the assailants, - Murkle so much so, that a cut in his neck rendered him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ever after incapable of holding up his head. The Earl of Sutherland, Lords Rea and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Strathnaver, Hugh Munro of Eribol, and several others, raised an action before the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justiciary, against George, Earl of Caithness, and several who were concerned with him in</w:t>
      </w:r>
      <w:r w:rsidR="000B704B" w:rsidRPr="00A15AA5">
        <w:rPr>
          <w:rFonts w:cs="Times New Roman"/>
          <w:sz w:val="20"/>
        </w:rPr>
        <w:t xml:space="preserve"> t</w:t>
      </w:r>
      <w:r w:rsidRPr="00A15AA5">
        <w:rPr>
          <w:rFonts w:cs="Times New Roman"/>
          <w:sz w:val="20"/>
        </w:rPr>
        <w:t>hose lawless proceedings which harassed the country. This was met by a counter-action,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in which various complaints were made against the pursuers, extending downwards from</w:t>
      </w:r>
      <w:r w:rsidR="00A15AA5">
        <w:rPr>
          <w:rFonts w:cs="Times New Roman"/>
          <w:sz w:val="20"/>
        </w:rPr>
        <w:t xml:space="preserve"> </w:t>
      </w:r>
      <w:r w:rsidR="000B704B" w:rsidRPr="00A15AA5">
        <w:rPr>
          <w:rFonts w:cs="Times New Roman"/>
          <w:sz w:val="20"/>
        </w:rPr>
        <w:t>t</w:t>
      </w:r>
      <w:r w:rsidRPr="00A15AA5">
        <w:rPr>
          <w:rFonts w:cs="Times New Roman"/>
          <w:sz w:val="20"/>
        </w:rPr>
        <w:t>he year 1649 and both parties were summoned to appear on the 10</w:t>
      </w:r>
      <w:r w:rsidRPr="00A15AA5">
        <w:rPr>
          <w:rFonts w:cs="Times New Roman"/>
          <w:sz w:val="20"/>
          <w:szCs w:val="15"/>
        </w:rPr>
        <w:t xml:space="preserve">th </w:t>
      </w:r>
      <w:r w:rsidRPr="00A15AA5">
        <w:rPr>
          <w:rFonts w:cs="Times New Roman"/>
          <w:sz w:val="20"/>
        </w:rPr>
        <w:t>of December 1668.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A compromise took place, and Caithness withdrew his action: the case as to Dunbeath and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Murkle being however excepted. These stubborn gentlemen had not found the caution or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security required for their appearance, and had eluded all attempts to apprehend them. A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commission of fire and sword was promulgated against them, but the service being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declined by those to whom the letters were first addressed, John Campbell younger of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Glenurchy undertook it with alacrity, and proceeded to Caithness; but meantime by the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influence of their friends, the outlaws obtained a remission of their crimes. Although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Glenurchy found this an unprofitable expedition, he resolved to turn his visit with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Caithness to some account, and ingratiated himself with the Earl, who had married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Argyles’ daughter, and who was consequently his own kinswoman. The Earl, who was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advanced in life and in great pecuniary difficulties, was advised by Campbell to execute a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bond of entail, 7</w:t>
      </w:r>
      <w:r w:rsidRPr="00A15AA5">
        <w:rPr>
          <w:rFonts w:cs="Times New Roman"/>
          <w:sz w:val="20"/>
          <w:szCs w:val="15"/>
        </w:rPr>
        <w:t xml:space="preserve">th </w:t>
      </w:r>
      <w:r w:rsidRPr="00A15AA5">
        <w:rPr>
          <w:rFonts w:cs="Times New Roman"/>
          <w:sz w:val="20"/>
        </w:rPr>
        <w:t>October 1672, conveying the earldom and estates to Glenurchy, failing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issue male of his own body. He died in 1675 without that issue, leaving his lands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encumbered with debt, which Campbell, who was himself a principal creditor, redeemed,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and not trusting in the deed of tailzie and disposition, he married in 1678 the dowager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Countess, who had enjoyed a handsome life rent. He then led a process of adjudication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against the whole property, and ultimately obtained a charter under the great seal and a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royal grant of the earldom. George Sinclair of Geiss, son of Francis</w:t>
      </w:r>
      <w:r>
        <w:rPr>
          <w:rFonts w:cs="Times New Roman"/>
        </w:rPr>
        <w:t xml:space="preserve"> </w:t>
      </w:r>
      <w:r w:rsidRPr="00A15AA5">
        <w:rPr>
          <w:rFonts w:cs="Times New Roman"/>
          <w:sz w:val="20"/>
        </w:rPr>
        <w:t>Sinclair of Northfield,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second son of George Earl of Caithness, grandfather to the last Earl, laid claim to the title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and was cheerfully acknowledged by a majority of the clan, who would not submit to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Glenurchy’s assumption. The lawyers, however, seem to have given the preference to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Glenurchy, in whose favo</w:t>
      </w:r>
      <w:r w:rsidR="000B704B" w:rsidRPr="00A15AA5">
        <w:rPr>
          <w:rFonts w:cs="Times New Roman"/>
          <w:sz w:val="20"/>
        </w:rPr>
        <w:t>ur a proclamation from the privy</w:t>
      </w:r>
      <w:r w:rsidRPr="00A15AA5">
        <w:rPr>
          <w:rFonts w:cs="Times New Roman"/>
          <w:sz w:val="20"/>
        </w:rPr>
        <w:t xml:space="preserve"> council was issued, 22</w:t>
      </w:r>
      <w:r w:rsidRPr="00A15AA5">
        <w:rPr>
          <w:rFonts w:cs="Times New Roman"/>
          <w:sz w:val="20"/>
          <w:szCs w:val="15"/>
          <w:vertAlign w:val="superscript"/>
        </w:rPr>
        <w:t>nd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February 1677, forbidding Sinclair to claim, or others to give him the style or title.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Sinclair, in support of his claims, alleged a disposition of the lands of Geiss, Northfield,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 xml:space="preserve">and Tister, from the Earl his grandfather, which he </w:t>
      </w:r>
      <w:r w:rsidR="000B704B" w:rsidRPr="00A15AA5">
        <w:rPr>
          <w:rFonts w:cs="Times New Roman"/>
          <w:sz w:val="20"/>
        </w:rPr>
        <w:t xml:space="preserve">maintained was </w:t>
      </w:r>
      <w:r w:rsidR="000B704B" w:rsidRPr="00A15AA5">
        <w:rPr>
          <w:rFonts w:cs="Times New Roman"/>
          <w:sz w:val="20"/>
        </w:rPr>
        <w:lastRenderedPageBreak/>
        <w:t xml:space="preserve">his </w:t>
      </w:r>
      <w:r w:rsidRPr="00A15AA5">
        <w:rPr>
          <w:rFonts w:cs="Times New Roman"/>
          <w:sz w:val="20"/>
        </w:rPr>
        <w:t>sole and inalienable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patrimony; but</w:t>
      </w:r>
      <w:r w:rsidR="00A15AA5" w:rsidRPr="00A15AA5">
        <w:rPr>
          <w:rFonts w:cs="Times New Roman"/>
          <w:sz w:val="20"/>
        </w:rPr>
        <w:t xml:space="preserve"> Glenurchy also resisted this claim</w:t>
      </w:r>
      <w:r w:rsidRPr="00A15AA5">
        <w:rPr>
          <w:rFonts w:cs="Times New Roman"/>
          <w:sz w:val="20"/>
        </w:rPr>
        <w:t>. Sinclair however defended his right, and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with his friends opposed Glenurchy’s collection of the rents, and otherwise annoyed him,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who thereupon obtained the protection of letters of lawborow’s against the Sinclairs, who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had been previously summoned by the sheriff to compear and resign the lands to the newly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created Earl of Caithness; who had moreover obtained an act, charging all his kin, friends,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and followers to assist him in the recovery of the disputed lands. In consequence of this,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Glenurchy invaded Caithness with an array of about 1000 men from Glenlyon, Glenfallach,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Glendochart, Achaladair, with the followers of his brother-in-law, the Laird of MacNab;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and finding the Sinclairs prepared to oppose the march, he drew up his army at Allt-na</w:t>
      </w:r>
      <w:r w:rsid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meirlich,</w:t>
      </w:r>
      <w:r w:rsidR="000B704B" w:rsidRPr="00A15AA5">
        <w:rPr>
          <w:rFonts w:cs="Times New Roman"/>
          <w:sz w:val="20"/>
        </w:rPr>
        <w:t xml:space="preserve"> about two miles from the t</w:t>
      </w:r>
      <w:r w:rsidRPr="00A15AA5">
        <w:rPr>
          <w:rFonts w:cs="Times New Roman"/>
          <w:sz w:val="20"/>
        </w:rPr>
        <w:t>own of Wick. His enemies were somewhat more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numerous, and unfortunately spent the night preceding the battle in carelessly feasting and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drinking, the effect of which was seen in the irregular line of march, when they went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forward next morning. The Campbells with becoming prudence, knowing the population</w:t>
      </w:r>
      <w:r w:rsidR="000B704B" w:rsidRPr="00A15AA5">
        <w:rPr>
          <w:rFonts w:cs="Times New Roman"/>
          <w:sz w:val="20"/>
        </w:rPr>
        <w:t xml:space="preserve"> s</w:t>
      </w:r>
      <w:r w:rsidRPr="00A15AA5">
        <w:rPr>
          <w:rFonts w:cs="Times New Roman"/>
          <w:sz w:val="20"/>
        </w:rPr>
        <w:t>o hostile to them and that defeat would be irretrievable ruin, selected the most</w:t>
      </w:r>
      <w:r w:rsidR="000B704B" w:rsidRPr="00A15AA5">
        <w:rPr>
          <w:rFonts w:cs="Times New Roman"/>
          <w:sz w:val="20"/>
        </w:rPr>
        <w:t xml:space="preserve"> a</w:t>
      </w:r>
      <w:r w:rsidRPr="00A15AA5">
        <w:rPr>
          <w:rFonts w:cs="Times New Roman"/>
          <w:sz w:val="20"/>
        </w:rPr>
        <w:t>dvantageous ground, and nerved themselves for the onslaught of the advancing host.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Their firmness secured the advantage; for the unsteady ranks of the Sinclairs were broken,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and the slaughter was great. Many attempting to cross the river of Wick, escaped the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sword, but found a watery grave. The bodies so accumulated in the stream, that it is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 xml:space="preserve">traditionally reported the Campbells could step over on the </w:t>
      </w:r>
      <w:r w:rsidR="00C34F3E" w:rsidRPr="00A15AA5">
        <w:rPr>
          <w:rFonts w:cs="Times New Roman"/>
          <w:sz w:val="20"/>
        </w:rPr>
        <w:t>carcasses</w:t>
      </w:r>
      <w:r w:rsidRPr="00A15AA5">
        <w:rPr>
          <w:rFonts w:cs="Times New Roman"/>
          <w:sz w:val="20"/>
        </w:rPr>
        <w:t>, dry shod. The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gentlemen being mounted, made good their retreat, but the victory was so complete and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so easily obtained, that on first perceiving the Sinclairs giving way, Glenurchy’s Piper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 xml:space="preserve">poured forth a voluntary, the notes of which appeared to re-echo the </w:t>
      </w:r>
      <w:r w:rsidR="00C34F3E" w:rsidRPr="00A15AA5">
        <w:rPr>
          <w:rFonts w:cs="Times New Roman"/>
          <w:sz w:val="20"/>
        </w:rPr>
        <w:t>contemptuous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exclamation, that “the carles with the breeks were flying from the field!”* This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piobaireachd has ever been called, “Lord Breadalbane’s march to the battle,” and does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appear in the ears of lovers of Pipe-music, to articulate very expressively “Bodaich na’m</w:t>
      </w:r>
    </w:p>
    <w:p w:rsidR="005D59A7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Briogais,” &amp;c.</w:t>
      </w:r>
    </w:p>
    <w:p w:rsidR="00F47424" w:rsidRPr="00A15AA5" w:rsidRDefault="005D59A7" w:rsidP="00A15AA5">
      <w:pPr>
        <w:widowControl w:val="0"/>
        <w:autoSpaceDE w:val="0"/>
        <w:autoSpaceDN w:val="0"/>
        <w:adjustRightInd w:val="0"/>
        <w:spacing w:after="0"/>
        <w:ind w:left="630"/>
        <w:rPr>
          <w:rFonts w:cs="Times New Roman"/>
          <w:sz w:val="20"/>
        </w:rPr>
      </w:pPr>
      <w:r w:rsidRPr="00A15AA5">
        <w:rPr>
          <w:rFonts w:cs="Times New Roman"/>
          <w:sz w:val="20"/>
        </w:rPr>
        <w:t>* The gentlemen of the Sinclairs being on horseback, wore the Truis; hence the appellation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Bodaich na’m Briogais. The late Caithness fencibles, raised and commanded by Sir John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Sinclair, Bart. were dressed in this distinguished garb of their ancestors. See Stewart’s</w:t>
      </w:r>
      <w:r w:rsidR="000B704B" w:rsidRPr="00A15AA5">
        <w:rPr>
          <w:rFonts w:cs="Times New Roman"/>
          <w:sz w:val="20"/>
        </w:rPr>
        <w:t xml:space="preserve"> </w:t>
      </w:r>
      <w:r w:rsidRPr="00A15AA5">
        <w:rPr>
          <w:rFonts w:cs="Times New Roman"/>
          <w:sz w:val="20"/>
        </w:rPr>
        <w:t>Sketches of the Highlanders, p. 399. Douglas’ Peerage, &amp;c.</w:t>
      </w:r>
      <w:r w:rsidRPr="00A15AA5">
        <w:rPr>
          <w:sz w:val="20"/>
        </w:rPr>
        <w:t xml:space="preserve"> </w:t>
      </w:r>
    </w:p>
    <w:p w:rsidR="00FA2EAD" w:rsidRDefault="00FA2EAD" w:rsidP="00171D2B">
      <w:pPr>
        <w:spacing w:after="0"/>
      </w:pPr>
    </w:p>
    <w:p w:rsidR="00602AB8" w:rsidRDefault="00A15AA5" w:rsidP="00171D2B">
      <w:pPr>
        <w:spacing w:after="0"/>
      </w:pPr>
      <w:r>
        <w:t xml:space="preserve">There is a famous song to this tune, </w:t>
      </w:r>
      <w:r w:rsidR="00602AB8">
        <w:t xml:space="preserve">associated with the Massacre of Glencoe, </w:t>
      </w:r>
      <w:r w:rsidR="0098643C">
        <w:t>usually called from its opening words,</w:t>
      </w:r>
      <w:r w:rsidR="0098643C" w:rsidRPr="0098643C">
        <w:t xml:space="preserve"> </w:t>
      </w:r>
      <w:r w:rsidR="0098643C" w:rsidRPr="008522A7">
        <w:rPr>
          <w:i/>
        </w:rPr>
        <w:t>“Mnathan a’ ghlinne seo”</w:t>
      </w:r>
      <w:r w:rsidR="0098643C">
        <w:t>,</w:t>
      </w:r>
      <w:r w:rsidR="00602AB8">
        <w:t xml:space="preserve"> </w:t>
      </w:r>
      <w:r>
        <w:t xml:space="preserve">a warning to the women of the glen that there are armed men lying in wait for them.  For further details </w:t>
      </w:r>
      <w:r w:rsidR="0098643C">
        <w:t xml:space="preserve">and a sung performance, </w:t>
      </w:r>
      <w:r>
        <w:t xml:space="preserve">see </w:t>
      </w:r>
    </w:p>
    <w:p w:rsidR="00602AB8" w:rsidRDefault="00602AB8" w:rsidP="00171D2B">
      <w:pPr>
        <w:spacing w:after="0"/>
      </w:pPr>
    </w:p>
    <w:p w:rsidR="00602AB8" w:rsidRDefault="00602AB8" w:rsidP="00602AB8">
      <w:pPr>
        <w:spacing w:after="0"/>
      </w:pPr>
      <w:r>
        <w:t xml:space="preserve">            &lt;  </w:t>
      </w:r>
      <w:hyperlink r:id="rId16" w:history="1">
        <w:r w:rsidRPr="00801CCF">
          <w:rPr>
            <w:rStyle w:val="Hyperlink"/>
          </w:rPr>
          <w:t>http://www.tobarandualchais.co.uk/en/fullrecord/101931/</w:t>
        </w:r>
      </w:hyperlink>
      <w:r>
        <w:t xml:space="preserve">  &gt;</w:t>
      </w:r>
    </w:p>
    <w:p w:rsidR="00A15AA5" w:rsidRDefault="00A15AA5" w:rsidP="00171D2B">
      <w:pPr>
        <w:spacing w:after="0"/>
      </w:pPr>
    </w:p>
    <w:p w:rsidR="00F47424" w:rsidRPr="00F47424" w:rsidRDefault="00F47424" w:rsidP="00171D2B">
      <w:pPr>
        <w:spacing w:after="0"/>
      </w:pPr>
    </w:p>
    <w:p w:rsidR="0098643C" w:rsidRDefault="0098643C" w:rsidP="0098643C">
      <w:pPr>
        <w:spacing w:after="0"/>
      </w:pPr>
      <w:r>
        <w:tab/>
      </w:r>
      <w:r>
        <w:tab/>
      </w:r>
      <w:r>
        <w:tab/>
      </w:r>
      <w:r>
        <w:tab/>
      </w:r>
      <w:r>
        <w:tab/>
        <w:t>*</w:t>
      </w:r>
    </w:p>
    <w:p w:rsidR="0098643C" w:rsidRDefault="0098643C" w:rsidP="0098643C">
      <w:pPr>
        <w:spacing w:after="0"/>
      </w:pPr>
    </w:p>
    <w:p w:rsidR="0098643C" w:rsidRPr="008512ED" w:rsidRDefault="0098643C" w:rsidP="0098643C">
      <w:pPr>
        <w:spacing w:after="0"/>
        <w:rPr>
          <w:rFonts w:ascii="Wingdings" w:hAnsi="Wingdings"/>
          <w:sz w:val="20"/>
        </w:rPr>
      </w:pPr>
      <w:r w:rsidRPr="008512ED">
        <w:rPr>
          <w:sz w:val="20"/>
        </w:rPr>
        <w:t>Electronic text © Dr. William Donaldson, Cambridge, Massachusetts, 6</w:t>
      </w:r>
      <w:r w:rsidRPr="008512ED">
        <w:rPr>
          <w:sz w:val="20"/>
          <w:vertAlign w:val="superscript"/>
        </w:rPr>
        <w:t>th</w:t>
      </w:r>
      <w:r w:rsidRPr="008512ED">
        <w:rPr>
          <w:sz w:val="20"/>
        </w:rPr>
        <w:t xml:space="preserve"> September 2016</w:t>
      </w:r>
    </w:p>
    <w:p w:rsidR="00000000" w:rsidRPr="00171D2B" w:rsidRDefault="00000000" w:rsidP="00171D2B">
      <w:pPr>
        <w:spacing w:after="0"/>
      </w:pPr>
    </w:p>
    <w:sectPr w:rsidR="00AD0D55" w:rsidRPr="00171D2B" w:rsidSect="00A15AA5">
      <w:pgSz w:w="12240" w:h="15840"/>
      <w:pgMar w:top="1440" w:right="261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31"/>
  <w:embedSystemFonts/>
  <w:proofState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71D2B"/>
    <w:rsid w:val="00055A46"/>
    <w:rsid w:val="000B704B"/>
    <w:rsid w:val="000F1647"/>
    <w:rsid w:val="0014458C"/>
    <w:rsid w:val="00171D2B"/>
    <w:rsid w:val="00190ED1"/>
    <w:rsid w:val="001925BB"/>
    <w:rsid w:val="001D1A8E"/>
    <w:rsid w:val="00207829"/>
    <w:rsid w:val="00233F3B"/>
    <w:rsid w:val="002F1780"/>
    <w:rsid w:val="003162FB"/>
    <w:rsid w:val="0042294F"/>
    <w:rsid w:val="00471B9B"/>
    <w:rsid w:val="004F6501"/>
    <w:rsid w:val="005038D3"/>
    <w:rsid w:val="005471DD"/>
    <w:rsid w:val="005D59A7"/>
    <w:rsid w:val="005F125B"/>
    <w:rsid w:val="005F6999"/>
    <w:rsid w:val="00602AB8"/>
    <w:rsid w:val="0060563A"/>
    <w:rsid w:val="0062782D"/>
    <w:rsid w:val="00644320"/>
    <w:rsid w:val="00644966"/>
    <w:rsid w:val="00651B2B"/>
    <w:rsid w:val="006562AA"/>
    <w:rsid w:val="006970C2"/>
    <w:rsid w:val="006B6ACF"/>
    <w:rsid w:val="006D54D7"/>
    <w:rsid w:val="006F13F3"/>
    <w:rsid w:val="00737468"/>
    <w:rsid w:val="00795AEB"/>
    <w:rsid w:val="007D68FF"/>
    <w:rsid w:val="007D69F7"/>
    <w:rsid w:val="008512ED"/>
    <w:rsid w:val="008522A7"/>
    <w:rsid w:val="0088158D"/>
    <w:rsid w:val="008D5994"/>
    <w:rsid w:val="00903D9F"/>
    <w:rsid w:val="009274E3"/>
    <w:rsid w:val="00982CE8"/>
    <w:rsid w:val="009832A4"/>
    <w:rsid w:val="009851C4"/>
    <w:rsid w:val="0098643C"/>
    <w:rsid w:val="00A15AA5"/>
    <w:rsid w:val="00AB0F70"/>
    <w:rsid w:val="00AE5F55"/>
    <w:rsid w:val="00B33012"/>
    <w:rsid w:val="00B64ED2"/>
    <w:rsid w:val="00B67DBE"/>
    <w:rsid w:val="00B7768A"/>
    <w:rsid w:val="00B95168"/>
    <w:rsid w:val="00C1619D"/>
    <w:rsid w:val="00C34F3E"/>
    <w:rsid w:val="00C404AC"/>
    <w:rsid w:val="00C53578"/>
    <w:rsid w:val="00CD3580"/>
    <w:rsid w:val="00CE79BF"/>
    <w:rsid w:val="00CF1D1C"/>
    <w:rsid w:val="00D00A6C"/>
    <w:rsid w:val="00D23351"/>
    <w:rsid w:val="00D32821"/>
    <w:rsid w:val="00D8608D"/>
    <w:rsid w:val="00DB13A5"/>
    <w:rsid w:val="00E140A4"/>
    <w:rsid w:val="00E172B6"/>
    <w:rsid w:val="00EA3870"/>
    <w:rsid w:val="00F0676D"/>
    <w:rsid w:val="00F10719"/>
    <w:rsid w:val="00F37758"/>
    <w:rsid w:val="00F47424"/>
    <w:rsid w:val="00F866D0"/>
    <w:rsid w:val="00F87A41"/>
    <w:rsid w:val="00F91DCE"/>
    <w:rsid w:val="00FA2EAD"/>
    <w:rsid w:val="00FA3F00"/>
    <w:rsid w:val="00FD61D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52FCBE"/>
  <w15:docId w15:val="{79681E8D-202A-8649-85E6-EEAB0631A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1A39"/>
    <w:rPr>
      <w:rFonts w:ascii="Times New Roman" w:hAnsi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basedOn w:val="DefaultParagraphFont"/>
    <w:uiPriority w:val="99"/>
    <w:rsid w:val="00644320"/>
    <w:rPr>
      <w:vertAlign w:val="superscript"/>
    </w:rPr>
  </w:style>
  <w:style w:type="character" w:styleId="Hyperlink">
    <w:name w:val="Hyperlink"/>
    <w:basedOn w:val="DefaultParagraphFont"/>
    <w:uiPriority w:val="99"/>
    <w:semiHidden/>
    <w:unhideWhenUsed/>
    <w:rsid w:val="00602AB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355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9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1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4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4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7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://www.tobarandualchais.co.uk/en/fullrecord/101931/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489</TotalTime>
  <Pages>18</Pages>
  <Words>1631</Words>
  <Characters>9298</Characters>
  <Application>Microsoft Office Word</Application>
  <DocSecurity>0</DocSecurity>
  <Lines>77</Lines>
  <Paragraphs>21</Paragraphs>
  <ScaleCrop>false</ScaleCrop>
  <Company>M.I.T.</Company>
  <LinksUpToDate>false</LinksUpToDate>
  <CharactersWithSpaces>10908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Donaldson</dc:creator>
  <cp:keywords/>
  <cp:lastModifiedBy>William Donaldson</cp:lastModifiedBy>
  <cp:revision>71</cp:revision>
  <cp:lastPrinted>2016-06-13T15:31:00Z</cp:lastPrinted>
  <dcterms:created xsi:type="dcterms:W3CDTF">2016-05-01T11:22:00Z</dcterms:created>
  <dcterms:modified xsi:type="dcterms:W3CDTF">2024-11-11T16:55:00Z</dcterms:modified>
</cp:coreProperties>
</file>