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emf" ContentType="image/x-emf"/>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563A0" w:rsidRDefault="00B563A0">
      <w:pPr>
        <w:pBdr>
          <w:bottom w:val="single" w:sz="6" w:space="1" w:color="auto"/>
        </w:pBdr>
        <w:rPr>
          <w:sz w:val="28"/>
        </w:rPr>
      </w:pPr>
      <w:r>
        <w:rPr>
          <w:sz w:val="28"/>
        </w:rPr>
        <w:t>The Battle of Waterloo</w:t>
      </w:r>
    </w:p>
    <w:p w:rsidR="00B563A0" w:rsidRDefault="00B563A0">
      <w:r>
        <w:t>There are settings of this tune in the following manuscript sources:</w:t>
      </w:r>
    </w:p>
    <w:p w:rsidR="00B563A0" w:rsidRPr="00FC0553" w:rsidRDefault="00B563A0">
      <w:r>
        <w:rPr>
          <w:b/>
        </w:rPr>
        <w:t xml:space="preserve">--David Glen </w:t>
      </w:r>
      <w:r>
        <w:t>MS, ff.356-9;</w:t>
      </w:r>
    </w:p>
    <w:p w:rsidR="00B563A0" w:rsidRDefault="00B563A0">
      <w:r>
        <w:t>and in the following published sources:</w:t>
      </w:r>
    </w:p>
    <w:p w:rsidR="004F177B" w:rsidRDefault="00B563A0" w:rsidP="00D413C6">
      <w:pPr>
        <w:spacing w:after="0"/>
      </w:pPr>
      <w:r>
        <w:rPr>
          <w:b/>
        </w:rPr>
        <w:t>--Angus MacKay</w:t>
      </w:r>
      <w:r>
        <w:t xml:space="preserve">, </w:t>
      </w:r>
      <w:r>
        <w:rPr>
          <w:i/>
        </w:rPr>
        <w:t xml:space="preserve">Collection of Ancient Piobaireachd, </w:t>
      </w:r>
      <w:r>
        <w:t xml:space="preserve">pp.89-92; </w:t>
      </w:r>
    </w:p>
    <w:p w:rsidR="00B563A0" w:rsidRDefault="00B563A0" w:rsidP="00D413C6">
      <w:pPr>
        <w:spacing w:after="0"/>
      </w:pPr>
      <w:r>
        <w:rPr>
          <w:b/>
        </w:rPr>
        <w:t>--C. S. Thomason</w:t>
      </w:r>
      <w:r>
        <w:t xml:space="preserve">, </w:t>
      </w:r>
      <w:r>
        <w:rPr>
          <w:i/>
        </w:rPr>
        <w:t xml:space="preserve">Ceol Mor, </w:t>
      </w:r>
      <w:r w:rsidRPr="008275ED">
        <w:t>pp.167-8;</w:t>
      </w:r>
    </w:p>
    <w:p w:rsidR="00B563A0" w:rsidRDefault="00B563A0"/>
    <w:p w:rsidR="00B563A0" w:rsidRDefault="00B563A0">
      <w:r w:rsidRPr="006E08DD">
        <w:rPr>
          <w:b/>
        </w:rPr>
        <w:t>Angus MacKay</w:t>
      </w:r>
      <w:r w:rsidRPr="006E08DD">
        <w:t xml:space="preserve"> sets the tune as follows:</w:t>
      </w:r>
    </w:p>
    <w:p w:rsidR="00B563A0" w:rsidRDefault="00B563A0">
      <w:pPr>
        <w:rPr>
          <w:b/>
        </w:rPr>
      </w:pPr>
    </w:p>
    <w:p w:rsidR="00B563A0" w:rsidRDefault="00B563A0">
      <w:pPr>
        <w:rPr>
          <w:b/>
        </w:rPr>
      </w:pPr>
    </w:p>
    <w:p w:rsidR="00B563A0" w:rsidRDefault="00B563A0">
      <w:pPr>
        <w:rPr>
          <w:b/>
        </w:rPr>
      </w:pPr>
    </w:p>
    <w:p w:rsidR="00B563A0" w:rsidRDefault="00B563A0">
      <w:pPr>
        <w:rPr>
          <w:b/>
        </w:rPr>
      </w:pPr>
    </w:p>
    <w:p w:rsidR="00B563A0" w:rsidRDefault="00C1772D">
      <w:pPr>
        <w:rPr>
          <w:b/>
        </w:rPr>
      </w:pPr>
      <w:r>
        <w:rPr>
          <w:b/>
          <w:noProof/>
        </w:rPr>
        <w:drawing>
          <wp:inline distT="0" distB="0" distL="0" distR="0">
            <wp:extent cx="4986655" cy="657098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4986655" cy="6570980"/>
                    </a:xfrm>
                    <a:prstGeom prst="rect">
                      <a:avLst/>
                    </a:prstGeom>
                    <a:noFill/>
                    <a:ln w="9525">
                      <a:noFill/>
                      <a:miter lim="800000"/>
                      <a:headEnd/>
                      <a:tailEnd/>
                    </a:ln>
                  </pic:spPr>
                </pic:pic>
              </a:graphicData>
            </a:graphic>
          </wp:inline>
        </w:drawing>
      </w:r>
    </w:p>
    <w:p w:rsidR="00B563A0" w:rsidRPr="009A7D6E" w:rsidRDefault="00C1772D">
      <w:pPr>
        <w:rPr>
          <w:b/>
        </w:rPr>
      </w:pPr>
      <w:r>
        <w:rPr>
          <w:b/>
          <w:noProof/>
        </w:rPr>
        <w:drawing>
          <wp:inline distT="0" distB="0" distL="0" distR="0">
            <wp:extent cx="5060950" cy="657098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060950" cy="6570980"/>
                    </a:xfrm>
                    <a:prstGeom prst="rect">
                      <a:avLst/>
                    </a:prstGeom>
                    <a:noFill/>
                    <a:ln w="9525">
                      <a:noFill/>
                      <a:miter lim="800000"/>
                      <a:headEnd/>
                      <a:tailEnd/>
                    </a:ln>
                  </pic:spPr>
                </pic:pic>
              </a:graphicData>
            </a:graphic>
          </wp:inline>
        </w:drawing>
      </w:r>
    </w:p>
    <w:p w:rsidR="00B563A0" w:rsidRDefault="00B563A0">
      <w:pPr>
        <w:rPr>
          <w:b/>
        </w:rPr>
      </w:pPr>
    </w:p>
    <w:p w:rsidR="00B563A0" w:rsidRDefault="00C1772D">
      <w:pPr>
        <w:rPr>
          <w:b/>
        </w:rPr>
      </w:pPr>
      <w:r>
        <w:rPr>
          <w:b/>
          <w:noProof/>
        </w:rPr>
        <w:drawing>
          <wp:inline distT="0" distB="0" distL="0" distR="0">
            <wp:extent cx="5125085" cy="6858000"/>
            <wp:effectExtent l="2540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125085" cy="6858000"/>
                    </a:xfrm>
                    <a:prstGeom prst="rect">
                      <a:avLst/>
                    </a:prstGeom>
                    <a:noFill/>
                    <a:ln w="9525">
                      <a:noFill/>
                      <a:miter lim="800000"/>
                      <a:headEnd/>
                      <a:tailEnd/>
                    </a:ln>
                  </pic:spPr>
                </pic:pic>
              </a:graphicData>
            </a:graphic>
          </wp:inline>
        </w:drawing>
      </w:r>
    </w:p>
    <w:p w:rsidR="00B563A0" w:rsidRPr="009A7D6E" w:rsidRDefault="00C1772D">
      <w:pPr>
        <w:rPr>
          <w:b/>
        </w:rPr>
      </w:pPr>
      <w:r>
        <w:rPr>
          <w:b/>
          <w:noProof/>
        </w:rPr>
        <w:drawing>
          <wp:inline distT="0" distB="0" distL="0" distR="0">
            <wp:extent cx="5039995" cy="657098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039995" cy="6570980"/>
                    </a:xfrm>
                    <a:prstGeom prst="rect">
                      <a:avLst/>
                    </a:prstGeom>
                    <a:noFill/>
                    <a:ln w="9525">
                      <a:noFill/>
                      <a:miter lim="800000"/>
                      <a:headEnd/>
                      <a:tailEnd/>
                    </a:ln>
                  </pic:spPr>
                </pic:pic>
              </a:graphicData>
            </a:graphic>
          </wp:inline>
        </w:drawing>
      </w:r>
    </w:p>
    <w:p w:rsidR="004F177B" w:rsidRDefault="00690998">
      <w:r>
        <w:t>The tune is developed very much in John MacKay’s characteristic manner: ground, siubhal singling and doubling, taorluath fosgailte, taorluath duinte, repeat of ground, crunluath singling and doubling with final repeat of ground.</w:t>
      </w:r>
      <w:r w:rsidR="000528A8">
        <w:t xml:space="preserve"> </w:t>
      </w:r>
      <w:r w:rsidR="004F177B">
        <w:t xml:space="preserve">  By the time we reach the taorluath fosgailte variations </w:t>
      </w:r>
      <w:r w:rsidR="00B3772C">
        <w:t>there ar</w:t>
      </w:r>
      <w:r w:rsidR="004F177B">
        <w:t xml:space="preserve">e only eleven bars in line one—there </w:t>
      </w:r>
      <w:r w:rsidR="00B3772C">
        <w:t>should be twelve on the basis of the ground</w:t>
      </w:r>
      <w:r w:rsidR="004F177B">
        <w:t>,</w:t>
      </w:r>
      <w:r w:rsidR="00B3772C">
        <w:t xml:space="preserve"> which is 6 6 4. </w:t>
      </w:r>
      <w:r w:rsidR="000E4616">
        <w:t xml:space="preserve">The siubhal </w:t>
      </w:r>
      <w:r w:rsidR="004F177B">
        <w:t xml:space="preserve">seems complete: when MacKay </w:t>
      </w:r>
      <w:r w:rsidR="000E4616">
        <w:t xml:space="preserve">switches to 2/4 we get the expected 12 12 8 bar pattern; but when he returns to 4/4 in the taorluath fosgailte things begin to go astray.  </w:t>
      </w:r>
      <w:r w:rsidR="00A23D2C">
        <w:t>The pattern in the taorluath fosgailt</w:t>
      </w:r>
      <w:r w:rsidR="004F177B">
        <w:t>e is 11 11 8.  This is easily enough mended,</w:t>
      </w:r>
      <w:r w:rsidR="00A23D2C">
        <w:t xml:space="preserve"> </w:t>
      </w:r>
      <w:r w:rsidR="004F177B">
        <w:t xml:space="preserve">by simply </w:t>
      </w:r>
      <w:r w:rsidR="00A23D2C">
        <w:t>repeat</w:t>
      </w:r>
      <w:r w:rsidR="004F177B">
        <w:t xml:space="preserve">ing </w:t>
      </w:r>
      <w:r w:rsidR="00A23D2C">
        <w:t xml:space="preserve"> the eallach –equivalent figure throughout.  </w:t>
      </w:r>
      <w:r w:rsidR="002E64A4">
        <w:t xml:space="preserve"> </w:t>
      </w:r>
      <w:r w:rsidR="004F177B">
        <w:t xml:space="preserve">From the </w:t>
      </w:r>
      <w:r w:rsidR="002300D2">
        <w:t xml:space="preserve">he taorluath duinte </w:t>
      </w:r>
      <w:r w:rsidR="004F177B">
        <w:t xml:space="preserve">onwards, MacKay returns </w:t>
      </w:r>
      <w:r w:rsidR="002300D2">
        <w:t xml:space="preserve">to the </w:t>
      </w:r>
      <w:r w:rsidR="004F177B">
        <w:t>expected</w:t>
      </w:r>
      <w:r w:rsidR="002300D2">
        <w:t xml:space="preserve"> 12 12 8 pattern</w:t>
      </w:r>
      <w:r w:rsidR="00F61B59">
        <w:t>.</w:t>
      </w:r>
    </w:p>
    <w:p w:rsidR="00AC6F0C" w:rsidRDefault="00AC6F0C"/>
    <w:p w:rsidR="00224CBE" w:rsidRDefault="00D73930">
      <w:r w:rsidRPr="00224CBE">
        <w:rPr>
          <w:b/>
        </w:rPr>
        <w:t>David Glen</w:t>
      </w:r>
      <w:r>
        <w:t xml:space="preserve"> sets the tune like this:</w:t>
      </w:r>
    </w:p>
    <w:p w:rsidR="00D73930" w:rsidRDefault="00224CBE">
      <w:r>
        <w:rPr>
          <w:noProof/>
        </w:rPr>
        <w:drawing>
          <wp:inline distT="0" distB="0" distL="0" distR="0">
            <wp:extent cx="5449799" cy="6991350"/>
            <wp:effectExtent l="25400" t="0" r="11201" b="0"/>
            <wp:docPr id="7" name="Picture 1" descr=":Battle of Waterloo, Gl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tle of Waterloo, Glen1.jpg"/>
                    <pic:cNvPicPr>
                      <a:picLocks noChangeAspect="1" noChangeArrowheads="1"/>
                    </pic:cNvPicPr>
                  </pic:nvPicPr>
                  <pic:blipFill>
                    <a:blip r:embed="rId8">
                      <a:lum bright="5000"/>
                    </a:blip>
                    <a:srcRect r="640"/>
                    <a:stretch>
                      <a:fillRect/>
                    </a:stretch>
                  </pic:blipFill>
                  <pic:spPr bwMode="auto">
                    <a:xfrm>
                      <a:off x="0" y="0"/>
                      <a:ext cx="5449799" cy="6991350"/>
                    </a:xfrm>
                    <a:prstGeom prst="rect">
                      <a:avLst/>
                    </a:prstGeom>
                    <a:noFill/>
                    <a:ln w="9525">
                      <a:noFill/>
                      <a:miter lim="800000"/>
                      <a:headEnd/>
                      <a:tailEnd/>
                    </a:ln>
                  </pic:spPr>
                </pic:pic>
              </a:graphicData>
            </a:graphic>
          </wp:inline>
        </w:drawing>
      </w:r>
    </w:p>
    <w:p w:rsidR="00D73930" w:rsidRDefault="003C1153">
      <w:r>
        <w:rPr>
          <w:noProof/>
        </w:rPr>
        <w:drawing>
          <wp:inline distT="0" distB="0" distL="0" distR="0">
            <wp:extent cx="5346700" cy="7014103"/>
            <wp:effectExtent l="25400" t="0" r="0" b="0"/>
            <wp:docPr id="8" name="Picture 2" descr=":Battle of Waterloo Gl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ttle of Waterloo Glen2.jpg"/>
                    <pic:cNvPicPr>
                      <a:picLocks noChangeAspect="1" noChangeArrowheads="1"/>
                    </pic:cNvPicPr>
                  </pic:nvPicPr>
                  <pic:blipFill>
                    <a:blip r:embed="rId9">
                      <a:lum bright="7000"/>
                    </a:blip>
                    <a:srcRect r="2644" b="2026"/>
                    <a:stretch>
                      <a:fillRect/>
                    </a:stretch>
                  </pic:blipFill>
                  <pic:spPr bwMode="auto">
                    <a:xfrm>
                      <a:off x="0" y="0"/>
                      <a:ext cx="5346700" cy="7014103"/>
                    </a:xfrm>
                    <a:prstGeom prst="rect">
                      <a:avLst/>
                    </a:prstGeom>
                    <a:noFill/>
                    <a:ln w="9525">
                      <a:noFill/>
                      <a:miter lim="800000"/>
                      <a:headEnd/>
                      <a:tailEnd/>
                    </a:ln>
                  </pic:spPr>
                </pic:pic>
              </a:graphicData>
            </a:graphic>
          </wp:inline>
        </w:drawing>
      </w:r>
    </w:p>
    <w:p w:rsidR="003C1153" w:rsidRDefault="003C1153">
      <w:r>
        <w:rPr>
          <w:noProof/>
        </w:rPr>
        <w:drawing>
          <wp:inline distT="0" distB="0" distL="0" distR="0">
            <wp:extent cx="5408197" cy="7029450"/>
            <wp:effectExtent l="25400" t="0" r="2003" b="0"/>
            <wp:docPr id="9" name="Picture 3" descr=":Battle of Waterloo Gl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ttle of Waterloo Glen3.jpg"/>
                    <pic:cNvPicPr>
                      <a:picLocks noChangeAspect="1" noChangeArrowheads="1"/>
                    </pic:cNvPicPr>
                  </pic:nvPicPr>
                  <pic:blipFill>
                    <a:blip r:embed="rId10">
                      <a:lum bright="5000"/>
                    </a:blip>
                    <a:srcRect t="1013" r="1311"/>
                    <a:stretch>
                      <a:fillRect/>
                    </a:stretch>
                  </pic:blipFill>
                  <pic:spPr bwMode="auto">
                    <a:xfrm>
                      <a:off x="0" y="0"/>
                      <a:ext cx="5408197" cy="7029450"/>
                    </a:xfrm>
                    <a:prstGeom prst="rect">
                      <a:avLst/>
                    </a:prstGeom>
                    <a:noFill/>
                    <a:ln w="9525">
                      <a:noFill/>
                      <a:miter lim="800000"/>
                      <a:headEnd/>
                      <a:tailEnd/>
                    </a:ln>
                  </pic:spPr>
                </pic:pic>
              </a:graphicData>
            </a:graphic>
          </wp:inline>
        </w:drawing>
      </w:r>
    </w:p>
    <w:p w:rsidR="00D017FE" w:rsidRDefault="00D017FE"/>
    <w:p w:rsidR="00D017FE" w:rsidRDefault="00D017FE">
      <w:r>
        <w:rPr>
          <w:noProof/>
        </w:rPr>
        <w:drawing>
          <wp:inline distT="0" distB="0" distL="0" distR="0">
            <wp:extent cx="5407016" cy="7194550"/>
            <wp:effectExtent l="25400" t="0" r="3184" b="0"/>
            <wp:docPr id="10" name="Picture 4" descr=":Battle of Waterloo Gl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ttle of Waterloo Glen4.jpg"/>
                    <pic:cNvPicPr>
                      <a:picLocks noChangeAspect="1" noChangeArrowheads="1"/>
                    </pic:cNvPicPr>
                  </pic:nvPicPr>
                  <pic:blipFill>
                    <a:blip r:embed="rId11">
                      <a:lum bright="5000"/>
                    </a:blip>
                    <a:srcRect r="1333"/>
                    <a:stretch>
                      <a:fillRect/>
                    </a:stretch>
                  </pic:blipFill>
                  <pic:spPr bwMode="auto">
                    <a:xfrm>
                      <a:off x="0" y="0"/>
                      <a:ext cx="5407016" cy="7194550"/>
                    </a:xfrm>
                    <a:prstGeom prst="rect">
                      <a:avLst/>
                    </a:prstGeom>
                    <a:noFill/>
                    <a:ln w="9525">
                      <a:noFill/>
                      <a:miter lim="800000"/>
                      <a:headEnd/>
                      <a:tailEnd/>
                    </a:ln>
                  </pic:spPr>
                </pic:pic>
              </a:graphicData>
            </a:graphic>
          </wp:inline>
        </w:drawing>
      </w:r>
    </w:p>
    <w:p w:rsidR="00102D25" w:rsidRDefault="00102D25"/>
    <w:p w:rsidR="00690998" w:rsidRPr="00690998" w:rsidRDefault="00102D25">
      <w:r>
        <w:t xml:space="preserve">We may note </w:t>
      </w:r>
      <w:r w:rsidRPr="00102D25">
        <w:rPr>
          <w:b/>
        </w:rPr>
        <w:t>Glen</w:t>
      </w:r>
      <w:r>
        <w:t>’s substituting the “down” eallach wherever it appears</w:t>
      </w:r>
      <w:r w:rsidR="00DE4652">
        <w:t>,</w:t>
      </w:r>
      <w:r>
        <w:t xml:space="preserve"> and</w:t>
      </w:r>
      <w:r w:rsidR="00D73930">
        <w:t xml:space="preserve"> the perfectly “round” timing of the</w:t>
      </w:r>
      <w:r>
        <w:t xml:space="preserve"> siubhal (clearly intentional); also his</w:t>
      </w:r>
      <w:r w:rsidR="00D73930">
        <w:t xml:space="preserve"> more plausible timing of the taorluath fosgailte variations.  </w:t>
      </w:r>
      <w:r w:rsidR="000528A8">
        <w:t xml:space="preserve"> </w:t>
      </w:r>
    </w:p>
    <w:p w:rsidR="00B563A0" w:rsidRPr="00224CBE" w:rsidRDefault="00B563A0">
      <w:r w:rsidRPr="00611AD9">
        <w:rPr>
          <w:b/>
        </w:rPr>
        <w:t>C. S. Th</w:t>
      </w:r>
      <w:r w:rsidR="00D73930">
        <w:rPr>
          <w:b/>
        </w:rPr>
        <w:t>omason</w:t>
      </w:r>
      <w:r w:rsidR="00D73930">
        <w:t>’s score adds little to the interpretatio</w:t>
      </w:r>
      <w:r w:rsidR="00102D25">
        <w:t>n</w:t>
      </w:r>
      <w:r w:rsidR="00D73930">
        <w:t>al possibilities of the tune and is not reproduced here.</w:t>
      </w:r>
    </w:p>
    <w:p w:rsidR="00783EF1" w:rsidRDefault="00783EF1">
      <w:pPr>
        <w:rPr>
          <w:b/>
        </w:rPr>
      </w:pPr>
    </w:p>
    <w:p w:rsidR="00783EF1" w:rsidRPr="00224CBE" w:rsidRDefault="00783EF1">
      <w:pPr>
        <w:rPr>
          <w:i/>
          <w:sz w:val="28"/>
        </w:rPr>
      </w:pPr>
      <w:r w:rsidRPr="00224CBE">
        <w:rPr>
          <w:i/>
          <w:sz w:val="28"/>
        </w:rPr>
        <w:t>Commentary:</w:t>
      </w:r>
    </w:p>
    <w:p w:rsidR="007D3737" w:rsidRDefault="00D73930">
      <w:r>
        <w:t>This is a typically expansive John MacKay tune</w:t>
      </w:r>
      <w:r w:rsidR="00913977">
        <w:t xml:space="preserve">, with </w:t>
      </w:r>
      <w:r>
        <w:t>much reiteration of the rising A-B-D/E motif</w:t>
      </w:r>
      <w:r w:rsidR="007D3737">
        <w:t xml:space="preserve"> and perhaps not quite enough </w:t>
      </w:r>
      <w:r>
        <w:t xml:space="preserve">tension in the resulting tone row to sustain a musical argument of </w:t>
      </w:r>
      <w:r w:rsidR="00913977">
        <w:t>such</w:t>
      </w:r>
      <w:r>
        <w:t xml:space="preserve"> length</w:t>
      </w:r>
      <w:r w:rsidR="003E3288">
        <w:t xml:space="preserve">.  There is only one version of this tune, that given by Angus MacKay, although David Glen’s </w:t>
      </w:r>
      <w:r w:rsidR="007D3737">
        <w:t>recension</w:t>
      </w:r>
      <w:r w:rsidR="003E3288">
        <w:t xml:space="preserve"> of MacKay’s score probably </w:t>
      </w:r>
      <w:r w:rsidR="007D3737">
        <w:t>gives us</w:t>
      </w:r>
      <w:r w:rsidR="003E3288">
        <w:t xml:space="preserve"> the best playing version available.  </w:t>
      </w:r>
    </w:p>
    <w:p w:rsidR="00913977" w:rsidRDefault="00DE4652">
      <w:r>
        <w:t xml:space="preserve">James </w:t>
      </w:r>
      <w:r w:rsidR="00913977">
        <w:t xml:space="preserve">Logan’s notes </w:t>
      </w:r>
      <w:r w:rsidR="00A72DB3">
        <w:t xml:space="preserve">in Angus MacKay’s </w:t>
      </w:r>
      <w:r w:rsidR="00A72DB3">
        <w:rPr>
          <w:i/>
        </w:rPr>
        <w:t>Collection of Ancient Piobaireach</w:t>
      </w:r>
      <w:r w:rsidR="00913977">
        <w:rPr>
          <w:i/>
        </w:rPr>
        <w:t xml:space="preserve">d, </w:t>
      </w:r>
      <w:r w:rsidR="00913977">
        <w:t xml:space="preserve">dutifully “puff” the piece: </w:t>
      </w:r>
    </w:p>
    <w:p w:rsidR="00D73930" w:rsidRPr="00913977" w:rsidRDefault="00A72DB3" w:rsidP="00913977">
      <w:pPr>
        <w:ind w:left="540" w:right="810"/>
        <w:rPr>
          <w:sz w:val="20"/>
        </w:rPr>
      </w:pPr>
      <w:r w:rsidRPr="00913977">
        <w:rPr>
          <w:sz w:val="20"/>
        </w:rPr>
        <w:t xml:space="preserve">This piobaireachd, which </w:t>
      </w:r>
      <w:r w:rsidR="00EB5545" w:rsidRPr="00913977">
        <w:rPr>
          <w:sz w:val="20"/>
        </w:rPr>
        <w:t>will</w:t>
      </w:r>
      <w:r w:rsidRPr="00913977">
        <w:rPr>
          <w:sz w:val="20"/>
        </w:rPr>
        <w:t xml:space="preserve"> bear comparison with most of the more ancient compositions, was produced by John MacKay, then with James MacLeod, Esq. of Rasay. [sic]  The important part which the Highland regiments performed on this glorious occasion, is universally known, and the striking garb of the Scottish mountaineers, was no less an object of curiosity and admira</w:t>
      </w:r>
      <w:r w:rsidR="00AA1533">
        <w:rPr>
          <w:sz w:val="20"/>
        </w:rPr>
        <w:t>tion on the continent, than the</w:t>
      </w:r>
      <w:r w:rsidRPr="00913977">
        <w:rPr>
          <w:sz w:val="20"/>
        </w:rPr>
        <w:t xml:space="preserve"> peculiar music of their national instrument, the sound of which animat</w:t>
      </w:r>
      <w:r w:rsidR="00AA1533">
        <w:rPr>
          <w:sz w:val="20"/>
        </w:rPr>
        <w:t>ed them to heroism; and, alas! p</w:t>
      </w:r>
      <w:r w:rsidRPr="00913977">
        <w:rPr>
          <w:sz w:val="20"/>
        </w:rPr>
        <w:t>oured forth the death dirge of many a heart that beat high in the morning, as they thought of their country, and what it expected from th</w:t>
      </w:r>
      <w:r w:rsidR="00AA1533">
        <w:rPr>
          <w:sz w:val="20"/>
        </w:rPr>
        <w:t>em in the approaching conflict.</w:t>
      </w:r>
      <w:r w:rsidRPr="00913977">
        <w:rPr>
          <w:sz w:val="20"/>
        </w:rPr>
        <w:t xml:space="preserve"> </w:t>
      </w:r>
      <w:r w:rsidR="00913977" w:rsidRPr="00913977">
        <w:rPr>
          <w:sz w:val="20"/>
        </w:rPr>
        <w:t>(“Historical and Traditional Notes on the Piobaireachds”,</w:t>
      </w:r>
      <w:r w:rsidR="00913977" w:rsidRPr="00913977">
        <w:rPr>
          <w:i/>
          <w:sz w:val="20"/>
        </w:rPr>
        <w:t xml:space="preserve"> </w:t>
      </w:r>
      <w:r w:rsidR="00913977" w:rsidRPr="00913977">
        <w:rPr>
          <w:sz w:val="20"/>
        </w:rPr>
        <w:t>p.10)</w:t>
      </w:r>
      <w:r w:rsidR="002E3BDD">
        <w:rPr>
          <w:sz w:val="20"/>
        </w:rPr>
        <w:t>.</w:t>
      </w:r>
    </w:p>
    <w:p w:rsidR="00DE4652" w:rsidRDefault="00DE4652" w:rsidP="0053523A"/>
    <w:p w:rsidR="00C63442" w:rsidRDefault="00C63442" w:rsidP="0053523A">
      <w:r>
        <w:t xml:space="preserve">The context reflects long-term exploitation of Highland military resources by the British state; and of the outward flow of </w:t>
      </w:r>
      <w:r w:rsidR="00DE4652">
        <w:t>important</w:t>
      </w:r>
      <w:r>
        <w:t xml:space="preserve"> pipers into an all-British rather than a local, Highland context</w:t>
      </w:r>
      <w:r w:rsidR="002E3BDD">
        <w:t>, as we see in the MacKay family itself</w:t>
      </w:r>
      <w:r>
        <w:t xml:space="preserve">.  </w:t>
      </w:r>
    </w:p>
    <w:p w:rsidR="0053523A" w:rsidRDefault="0053523A" w:rsidP="0053523A">
      <w:r>
        <w:t xml:space="preserve">The tune was offered in the Edinburgh Competition of 1819, presumably as a modish new piece, nearly twenty years before its first appearance in print. </w:t>
      </w:r>
    </w:p>
    <w:p w:rsidR="00734C19" w:rsidRDefault="003E3288">
      <w:r>
        <w:tab/>
      </w:r>
      <w:r>
        <w:tab/>
      </w:r>
      <w:r>
        <w:tab/>
      </w:r>
      <w:r>
        <w:tab/>
      </w:r>
    </w:p>
    <w:p w:rsidR="003E3288" w:rsidRDefault="0053523A" w:rsidP="00734C19">
      <w:pPr>
        <w:ind w:left="2160" w:firstLine="720"/>
      </w:pPr>
      <w:r>
        <w:t>*</w:t>
      </w:r>
      <w:r w:rsidR="003E3288">
        <w:tab/>
        <w:t>*</w:t>
      </w:r>
      <w:r>
        <w:tab/>
        <w:t>*</w:t>
      </w:r>
    </w:p>
    <w:p w:rsidR="003216B5" w:rsidRDefault="003216B5" w:rsidP="0053523A">
      <w:pPr>
        <w:rPr>
          <w:sz w:val="20"/>
        </w:rPr>
      </w:pPr>
    </w:p>
    <w:p w:rsidR="003E3288" w:rsidRPr="0079132A" w:rsidRDefault="003E3288" w:rsidP="0053523A">
      <w:pPr>
        <w:rPr>
          <w:sz w:val="20"/>
        </w:rPr>
      </w:pPr>
      <w:r w:rsidRPr="0079132A">
        <w:rPr>
          <w:sz w:val="20"/>
        </w:rPr>
        <w:t>Electronic text © Dr William Donaldson, Cambridge, Massachusetts, 4</w:t>
      </w:r>
      <w:r w:rsidRPr="0079132A">
        <w:rPr>
          <w:sz w:val="20"/>
          <w:vertAlign w:val="superscript"/>
        </w:rPr>
        <w:t>th</w:t>
      </w:r>
      <w:r w:rsidRPr="0079132A">
        <w:rPr>
          <w:sz w:val="20"/>
        </w:rPr>
        <w:t xml:space="preserve"> May 2014</w:t>
      </w:r>
    </w:p>
    <w:p w:rsidR="00FA2E53" w:rsidRPr="00A72DB3" w:rsidRDefault="00FA2E53"/>
    <w:p w:rsidR="00FA2E53" w:rsidRPr="00FA2E53" w:rsidRDefault="00FA2E53" w:rsidP="00FA2E53"/>
    <w:p w:rsidR="00B563A0" w:rsidRPr="00FA2E53" w:rsidRDefault="00FA2E53" w:rsidP="00FA2E53">
      <w:pPr>
        <w:tabs>
          <w:tab w:val="left" w:pos="5626"/>
        </w:tabs>
      </w:pPr>
      <w:r>
        <w:tab/>
      </w:r>
    </w:p>
    <w:sectPr w:rsidR="00B563A0" w:rsidRPr="00FA2E53" w:rsidSect="007357AF">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embedSystemFonts/>
  <w:proofState w:spelling="clean"/>
  <w:doNotTrackMoves/>
  <w:defaultTabStop w:val="720"/>
  <w:drawingGridHorizontalSpacing w:val="360"/>
  <w:drawingGridVerticalSpacing w:val="360"/>
  <w:displayHorizontalDrawingGridEvery w:val="0"/>
  <w:displayVerticalDrawingGridEvery w:val="0"/>
  <w:characterSpacingControl w:val="doNotCompress"/>
  <w:compat/>
  <w:rsids>
    <w:rsidRoot w:val="00662D5A"/>
    <w:rsid w:val="000528A8"/>
    <w:rsid w:val="00072B91"/>
    <w:rsid w:val="00097EA0"/>
    <w:rsid w:val="000E4616"/>
    <w:rsid w:val="00102D25"/>
    <w:rsid w:val="0016219D"/>
    <w:rsid w:val="001C0AEC"/>
    <w:rsid w:val="00224CBE"/>
    <w:rsid w:val="002300D2"/>
    <w:rsid w:val="00280202"/>
    <w:rsid w:val="00292F2D"/>
    <w:rsid w:val="002E3BDD"/>
    <w:rsid w:val="002E64A4"/>
    <w:rsid w:val="003216B5"/>
    <w:rsid w:val="00396119"/>
    <w:rsid w:val="003C1153"/>
    <w:rsid w:val="003E3288"/>
    <w:rsid w:val="00426D6C"/>
    <w:rsid w:val="0046778C"/>
    <w:rsid w:val="004F177B"/>
    <w:rsid w:val="0053523A"/>
    <w:rsid w:val="00611AD9"/>
    <w:rsid w:val="00662D5A"/>
    <w:rsid w:val="00690998"/>
    <w:rsid w:val="006E08DD"/>
    <w:rsid w:val="00734C19"/>
    <w:rsid w:val="007357AF"/>
    <w:rsid w:val="00783EF1"/>
    <w:rsid w:val="0079132A"/>
    <w:rsid w:val="007D3737"/>
    <w:rsid w:val="008015A5"/>
    <w:rsid w:val="008206C1"/>
    <w:rsid w:val="008275ED"/>
    <w:rsid w:val="008C4614"/>
    <w:rsid w:val="008D5C24"/>
    <w:rsid w:val="00913977"/>
    <w:rsid w:val="009A7D6E"/>
    <w:rsid w:val="00A23D2C"/>
    <w:rsid w:val="00A5353A"/>
    <w:rsid w:val="00A72A40"/>
    <w:rsid w:val="00A72DB3"/>
    <w:rsid w:val="00AA1533"/>
    <w:rsid w:val="00AC6F0C"/>
    <w:rsid w:val="00AD0D55"/>
    <w:rsid w:val="00B10640"/>
    <w:rsid w:val="00B1742E"/>
    <w:rsid w:val="00B3772C"/>
    <w:rsid w:val="00B563A0"/>
    <w:rsid w:val="00B63453"/>
    <w:rsid w:val="00B7424D"/>
    <w:rsid w:val="00BD086C"/>
    <w:rsid w:val="00C1772D"/>
    <w:rsid w:val="00C63442"/>
    <w:rsid w:val="00D017FE"/>
    <w:rsid w:val="00D413C6"/>
    <w:rsid w:val="00D73930"/>
    <w:rsid w:val="00DE4652"/>
    <w:rsid w:val="00E960A7"/>
    <w:rsid w:val="00EB5545"/>
    <w:rsid w:val="00EE0FC8"/>
    <w:rsid w:val="00F24207"/>
    <w:rsid w:val="00F61B59"/>
    <w:rsid w:val="00FA22C6"/>
    <w:rsid w:val="00FA2E53"/>
    <w:rsid w:val="00FC0553"/>
  </w:rsids>
  <m:mathPr>
    <m:mathFont m:val="Lucida Grande"/>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53A"/>
    <w:pPr>
      <w:spacing w:after="200"/>
    </w:pPr>
    <w:rPr>
      <w:rFonts w:ascii="Times New Roman" w:hAnsi="Times New Roman"/>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10</Pages>
  <Words>465</Words>
  <Characters>2655</Characters>
  <Application>Microsoft Word 12.0.0</Application>
  <DocSecurity>0</DocSecurity>
  <Lines>22</Lines>
  <Paragraphs>5</Paragraphs>
  <ScaleCrop>false</ScaleCrop>
  <Company>M.I.T.</Company>
  <LinksUpToDate>false</LinksUpToDate>
  <CharactersWithSpaces>3260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Donaldson</dc:creator>
  <cp:keywords/>
  <dc:description/>
  <cp:lastModifiedBy>William Donaldson</cp:lastModifiedBy>
  <cp:revision>5</cp:revision>
  <dcterms:created xsi:type="dcterms:W3CDTF">2014-05-15T09:51:00Z</dcterms:created>
  <dcterms:modified xsi:type="dcterms:W3CDTF">2014-06-29T16:56:00Z</dcterms:modified>
</cp:coreProperties>
</file>